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7C6" w:rsidRDefault="00870462">
      <w:pPr>
        <w:pStyle w:val="Heading1"/>
        <w:numPr>
          <w:ilvl w:val="0"/>
          <w:numId w:val="0"/>
        </w:numPr>
        <w:ind w:left="152"/>
      </w:pPr>
      <w:r>
        <w:rPr>
          <w:noProof/>
          <w:szCs w:val="28"/>
        </w:rPr>
        <w:drawing>
          <wp:anchor distT="0" distB="0" distL="114300" distR="114300" simplePos="0" relativeHeight="251661312" behindDoc="1" locked="0" layoutInCell="1" allowOverlap="1">
            <wp:simplePos x="0" y="0"/>
            <wp:positionH relativeFrom="margin">
              <wp:posOffset>4548505</wp:posOffset>
            </wp:positionH>
            <wp:positionV relativeFrom="margin">
              <wp:align>top</wp:align>
            </wp:positionV>
            <wp:extent cx="1967865" cy="763270"/>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QA-21054 Shell A4 Ppaer_JC"/>
                    <pic:cNvPicPr>
                      <a:picLocks noChangeAspect="1" noChangeArrowheads="1"/>
                    </pic:cNvPicPr>
                  </pic:nvPicPr>
                  <pic:blipFill>
                    <a:blip r:embed="rId12" cstate="print">
                      <a:extLst>
                        <a:ext uri="{28A0092B-C50C-407E-A947-70E740481C1C}">
                          <a14:useLocalDpi xmlns:a14="http://schemas.microsoft.com/office/drawing/2010/main" val="0"/>
                        </a:ext>
                      </a:extLst>
                    </a:blip>
                    <a:srcRect l="73523" t="2561" r="644" b="88942"/>
                    <a:stretch>
                      <a:fillRect/>
                    </a:stretch>
                  </pic:blipFill>
                  <pic:spPr>
                    <a:xfrm>
                      <a:off x="0" y="0"/>
                      <a:ext cx="1968079" cy="763009"/>
                    </a:xfrm>
                    <a:prstGeom prst="rect">
                      <a:avLst/>
                    </a:prstGeom>
                    <a:noFill/>
                    <a:ln>
                      <a:noFill/>
                    </a:ln>
                  </pic:spPr>
                </pic:pic>
              </a:graphicData>
            </a:graphic>
          </wp:anchor>
        </w:drawing>
      </w:r>
      <w:r>
        <w:rPr>
          <w:rFonts w:ascii="Times New Roman" w:eastAsia="Times New Roman" w:hAnsi="Times New Roman" w:cs="Times New Roman"/>
        </w:rPr>
        <w:t xml:space="preserve"> </w:t>
      </w:r>
    </w:p>
    <w:p w:rsidR="00A607C6" w:rsidRDefault="00870462">
      <w:pPr>
        <w:spacing w:after="181" w:line="259" w:lineRule="auto"/>
        <w:ind w:left="135" w:right="0" w:firstLine="0"/>
        <w:jc w:val="center"/>
      </w:pPr>
      <w:r>
        <w:rPr>
          <w:b/>
          <w:i/>
          <w:color w:val="00007F"/>
          <w:sz w:val="52"/>
        </w:rPr>
        <w:t xml:space="preserve"> </w:t>
      </w:r>
    </w:p>
    <w:p w:rsidR="00A607C6" w:rsidRDefault="00A607C6">
      <w:pPr>
        <w:rPr>
          <w:rFonts w:ascii="Arial" w:hAnsi="Arial" w:cs="Arial"/>
        </w:rPr>
      </w:pPr>
    </w:p>
    <w:p w:rsidR="00A607C6" w:rsidRDefault="00A607C6">
      <w:pPr>
        <w:rPr>
          <w:rFonts w:ascii="Arial" w:hAnsi="Arial" w:cs="Arial"/>
        </w:rPr>
      </w:pPr>
    </w:p>
    <w:p w:rsidR="00A607C6" w:rsidRDefault="00A607C6">
      <w:pPr>
        <w:rPr>
          <w:rFonts w:ascii="Arial" w:hAnsi="Arial" w:cs="Arial"/>
        </w:rPr>
      </w:pPr>
    </w:p>
    <w:p w:rsidR="00A607C6" w:rsidRDefault="00A607C6">
      <w:pPr>
        <w:rPr>
          <w:rFonts w:ascii="Arial" w:hAnsi="Arial" w:cs="Arial"/>
        </w:rPr>
      </w:pPr>
    </w:p>
    <w:p w:rsidR="00A607C6" w:rsidRDefault="00870462">
      <w:pPr>
        <w:rPr>
          <w:rFonts w:ascii="Arial" w:hAnsi="Arial" w:cs="Arial"/>
        </w:rPr>
      </w:pPr>
      <w:r>
        <w:rPr>
          <w:noProof/>
        </w:rPr>
        <w:drawing>
          <wp:inline distT="0" distB="0" distL="0" distR="0">
            <wp:extent cx="1695450" cy="43815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3"/>
                    <a:stretch>
                      <a:fillRect/>
                    </a:stretch>
                  </pic:blipFill>
                  <pic:spPr>
                    <a:xfrm>
                      <a:off x="0" y="0"/>
                      <a:ext cx="1695675" cy="438208"/>
                    </a:xfrm>
                    <a:prstGeom prst="rect">
                      <a:avLst/>
                    </a:prstGeom>
                  </pic:spPr>
                </pic:pic>
              </a:graphicData>
            </a:graphic>
          </wp:inline>
        </w:drawing>
      </w:r>
    </w:p>
    <w:p w:rsidR="00A607C6" w:rsidRDefault="00A607C6">
      <w:pPr>
        <w:rPr>
          <w:rFonts w:ascii="Arial" w:hAnsi="Arial" w:cs="Arial"/>
        </w:rPr>
      </w:pPr>
    </w:p>
    <w:p w:rsidR="00A607C6" w:rsidRDefault="00A607C6">
      <w:pPr>
        <w:rPr>
          <w:rFonts w:ascii="Arial" w:hAnsi="Arial" w:cs="Arial"/>
        </w:rPr>
      </w:pPr>
    </w:p>
    <w:p w:rsidR="00A607C6" w:rsidRDefault="00A607C6">
      <w:pPr>
        <w:rPr>
          <w:rFonts w:ascii="Arial" w:hAnsi="Arial" w:cs="Arial"/>
        </w:rPr>
      </w:pPr>
    </w:p>
    <w:p w:rsidR="00A607C6" w:rsidRDefault="00870462">
      <w:pPr>
        <w:rPr>
          <w:rFonts w:ascii="Arial" w:eastAsiaTheme="majorEastAsia" w:hAnsi="Arial" w:cs="Arial"/>
          <w:b/>
          <w:sz w:val="32"/>
          <w:lang w:eastAsia="en-US"/>
        </w:rPr>
      </w:pPr>
      <w:r>
        <w:rPr>
          <w:rFonts w:ascii="Arial" w:eastAsiaTheme="majorEastAsia" w:hAnsi="Arial" w:cs="Arial"/>
          <w:b/>
          <w:sz w:val="32"/>
          <w:lang w:eastAsia="en-US"/>
        </w:rPr>
        <w:t>Assessment Strategy</w:t>
      </w:r>
    </w:p>
    <w:p w:rsidR="00A607C6" w:rsidRDefault="00A607C6">
      <w:pPr>
        <w:rPr>
          <w:rFonts w:ascii="Arial" w:eastAsiaTheme="majorEastAsia" w:hAnsi="Arial" w:cs="Arial"/>
          <w:b/>
          <w:sz w:val="32"/>
          <w:lang w:eastAsia="en-US"/>
        </w:rPr>
      </w:pPr>
    </w:p>
    <w:p w:rsidR="00A607C6" w:rsidRDefault="00A607C6">
      <w:pPr>
        <w:rPr>
          <w:rFonts w:ascii="Arial" w:hAnsi="Arial" w:cs="Arial"/>
        </w:rPr>
      </w:pPr>
    </w:p>
    <w:tbl>
      <w:tblPr>
        <w:tblStyle w:val="TableGrid"/>
        <w:tblW w:w="9016" w:type="dxa"/>
        <w:tblLayout w:type="fixed"/>
        <w:tblLook w:val="04A0" w:firstRow="1" w:lastRow="0" w:firstColumn="1" w:lastColumn="0" w:noHBand="0" w:noVBand="1"/>
      </w:tblPr>
      <w:tblGrid>
        <w:gridCol w:w="4540"/>
        <w:gridCol w:w="4476"/>
      </w:tblGrid>
      <w:tr w:rsidR="00A607C6">
        <w:tc>
          <w:tcPr>
            <w:tcW w:w="4540" w:type="dxa"/>
          </w:tcPr>
          <w:p w:rsidR="00A607C6" w:rsidRDefault="00870462">
            <w:pPr>
              <w:rPr>
                <w:rFonts w:ascii="Arial" w:eastAsiaTheme="majorEastAsia" w:hAnsi="Arial" w:cs="Arial"/>
                <w:b/>
                <w:sz w:val="32"/>
                <w:lang w:eastAsia="en-US"/>
              </w:rPr>
            </w:pPr>
            <w:r>
              <w:rPr>
                <w:rFonts w:ascii="Arial" w:eastAsiaTheme="majorEastAsia" w:hAnsi="Arial" w:cs="Arial"/>
                <w:b/>
                <w:sz w:val="32"/>
                <w:lang w:eastAsia="en-US"/>
              </w:rPr>
              <w:t>Sector</w:t>
            </w:r>
          </w:p>
        </w:tc>
        <w:tc>
          <w:tcPr>
            <w:tcW w:w="4476" w:type="dxa"/>
          </w:tcPr>
          <w:p w:rsidR="00A607C6" w:rsidRDefault="00870462">
            <w:pPr>
              <w:rPr>
                <w:rFonts w:ascii="Arial" w:hAnsi="Arial" w:cs="Arial"/>
              </w:rPr>
            </w:pPr>
            <w:r>
              <w:rPr>
                <w:rFonts w:ascii="Arial" w:hAnsi="Arial" w:cs="Arial"/>
              </w:rPr>
              <w:t xml:space="preserve">Sport and Active Leisure </w:t>
            </w:r>
          </w:p>
        </w:tc>
      </w:tr>
      <w:tr w:rsidR="00A607C6">
        <w:tc>
          <w:tcPr>
            <w:tcW w:w="4540" w:type="dxa"/>
          </w:tcPr>
          <w:p w:rsidR="00A607C6" w:rsidRDefault="00870462">
            <w:pPr>
              <w:rPr>
                <w:rFonts w:ascii="Arial" w:eastAsiaTheme="majorEastAsia" w:hAnsi="Arial" w:cs="Arial"/>
                <w:b/>
                <w:sz w:val="32"/>
                <w:lang w:eastAsia="en-US"/>
              </w:rPr>
            </w:pPr>
            <w:r>
              <w:rPr>
                <w:rFonts w:ascii="Arial" w:eastAsiaTheme="majorEastAsia" w:hAnsi="Arial" w:cs="Arial"/>
                <w:b/>
                <w:sz w:val="32"/>
                <w:lang w:eastAsia="en-US"/>
              </w:rPr>
              <w:t>Qualification Title(s)</w:t>
            </w:r>
          </w:p>
        </w:tc>
        <w:tc>
          <w:tcPr>
            <w:tcW w:w="4476" w:type="dxa"/>
          </w:tcPr>
          <w:p w:rsidR="00A607C6" w:rsidRDefault="00870462">
            <w:pPr>
              <w:rPr>
                <w:rFonts w:ascii="Arial" w:hAnsi="Arial" w:cs="Arial"/>
              </w:rPr>
            </w:pPr>
            <w:r>
              <w:rPr>
                <w:rFonts w:ascii="Arial" w:hAnsi="Arial" w:cs="Arial"/>
              </w:rPr>
              <w:t>SVQ</w:t>
            </w:r>
            <w:r w:rsidR="0076746D">
              <w:rPr>
                <w:rFonts w:ascii="Arial" w:hAnsi="Arial" w:cs="Arial"/>
              </w:rPr>
              <w:t xml:space="preserve"> </w:t>
            </w:r>
            <w:r>
              <w:rPr>
                <w:rFonts w:ascii="Arial" w:hAnsi="Arial" w:cs="Arial"/>
              </w:rPr>
              <w:t>Achieving Excellence in Sport</w:t>
            </w:r>
            <w:r w:rsidR="0076746D">
              <w:rPr>
                <w:rFonts w:ascii="Arial" w:hAnsi="Arial" w:cs="Arial"/>
              </w:rPr>
              <w:t>s</w:t>
            </w:r>
            <w:r>
              <w:rPr>
                <w:rFonts w:ascii="Arial" w:hAnsi="Arial" w:cs="Arial"/>
              </w:rPr>
              <w:t xml:space="preserve"> Performance at SCQF </w:t>
            </w:r>
            <w:r w:rsidR="00D33EDB">
              <w:rPr>
                <w:rFonts w:ascii="Arial" w:hAnsi="Arial" w:cs="Arial"/>
              </w:rPr>
              <w:t>L</w:t>
            </w:r>
            <w:r>
              <w:rPr>
                <w:rFonts w:ascii="Arial" w:hAnsi="Arial" w:cs="Arial"/>
              </w:rPr>
              <w:t xml:space="preserve">evel 8 </w:t>
            </w:r>
          </w:p>
        </w:tc>
      </w:tr>
      <w:tr w:rsidR="00A607C6">
        <w:tc>
          <w:tcPr>
            <w:tcW w:w="4540" w:type="dxa"/>
          </w:tcPr>
          <w:p w:rsidR="00A607C6" w:rsidRDefault="00870462">
            <w:pPr>
              <w:rPr>
                <w:rFonts w:ascii="Arial" w:eastAsiaTheme="majorEastAsia" w:hAnsi="Arial" w:cs="Arial"/>
                <w:b/>
                <w:sz w:val="32"/>
                <w:lang w:eastAsia="en-US"/>
              </w:rPr>
            </w:pPr>
            <w:r>
              <w:rPr>
                <w:rFonts w:ascii="Arial" w:eastAsiaTheme="majorEastAsia" w:hAnsi="Arial" w:cs="Arial"/>
                <w:b/>
                <w:sz w:val="32"/>
                <w:lang w:eastAsia="en-US"/>
              </w:rPr>
              <w:t>Developed by</w:t>
            </w:r>
          </w:p>
        </w:tc>
        <w:tc>
          <w:tcPr>
            <w:tcW w:w="4476" w:type="dxa"/>
          </w:tcPr>
          <w:p w:rsidR="00A607C6" w:rsidRDefault="00870462">
            <w:pPr>
              <w:rPr>
                <w:rFonts w:ascii="Arial" w:hAnsi="Arial" w:cs="Arial"/>
              </w:rPr>
            </w:pPr>
            <w:proofErr w:type="spellStart"/>
            <w:r>
              <w:rPr>
                <w:rFonts w:ascii="Arial" w:hAnsi="Arial" w:cs="Arial"/>
              </w:rPr>
              <w:t>SkillsActive</w:t>
            </w:r>
            <w:proofErr w:type="spellEnd"/>
          </w:p>
        </w:tc>
      </w:tr>
      <w:tr w:rsidR="00A607C6">
        <w:tc>
          <w:tcPr>
            <w:tcW w:w="4540" w:type="dxa"/>
          </w:tcPr>
          <w:p w:rsidR="00A607C6" w:rsidRDefault="00870462">
            <w:pPr>
              <w:rPr>
                <w:rFonts w:ascii="Arial" w:eastAsiaTheme="majorEastAsia" w:hAnsi="Arial" w:cs="Arial"/>
                <w:b/>
                <w:sz w:val="32"/>
                <w:lang w:eastAsia="en-US"/>
              </w:rPr>
            </w:pPr>
            <w:r>
              <w:rPr>
                <w:rFonts w:ascii="Arial" w:eastAsiaTheme="majorEastAsia" w:hAnsi="Arial" w:cs="Arial"/>
                <w:b/>
                <w:sz w:val="32"/>
                <w:lang w:eastAsia="en-US"/>
              </w:rPr>
              <w:t>Date approved by ACG</w:t>
            </w:r>
          </w:p>
        </w:tc>
        <w:tc>
          <w:tcPr>
            <w:tcW w:w="4476" w:type="dxa"/>
          </w:tcPr>
          <w:p w:rsidR="00A607C6" w:rsidRDefault="008E0759">
            <w:pPr>
              <w:rPr>
                <w:rFonts w:ascii="Arial" w:hAnsi="Arial" w:cs="Arial"/>
              </w:rPr>
            </w:pPr>
            <w:r>
              <w:rPr>
                <w:rFonts w:ascii="Arial" w:hAnsi="Arial" w:cs="Arial"/>
              </w:rPr>
              <w:t>18 March 2020</w:t>
            </w:r>
          </w:p>
        </w:tc>
      </w:tr>
      <w:tr w:rsidR="00A607C6">
        <w:trPr>
          <w:trHeight w:val="160"/>
        </w:trPr>
        <w:tc>
          <w:tcPr>
            <w:tcW w:w="4540" w:type="dxa"/>
          </w:tcPr>
          <w:p w:rsidR="00A607C6" w:rsidRDefault="00870462">
            <w:pPr>
              <w:rPr>
                <w:rFonts w:ascii="Arial" w:eastAsiaTheme="majorEastAsia" w:hAnsi="Arial" w:cs="Arial"/>
                <w:b/>
                <w:sz w:val="32"/>
                <w:lang w:eastAsia="en-US"/>
              </w:rPr>
            </w:pPr>
            <w:r>
              <w:rPr>
                <w:rFonts w:ascii="Arial" w:eastAsiaTheme="majorEastAsia" w:hAnsi="Arial" w:cs="Arial"/>
                <w:b/>
                <w:sz w:val="32"/>
                <w:lang w:eastAsia="en-US"/>
              </w:rPr>
              <w:t xml:space="preserve">Version </w:t>
            </w:r>
          </w:p>
        </w:tc>
        <w:tc>
          <w:tcPr>
            <w:tcW w:w="4476" w:type="dxa"/>
          </w:tcPr>
          <w:p w:rsidR="00A607C6" w:rsidRDefault="00870462">
            <w:pPr>
              <w:rPr>
                <w:rFonts w:ascii="Arial" w:hAnsi="Arial" w:cs="Arial"/>
              </w:rPr>
            </w:pPr>
            <w:r>
              <w:rPr>
                <w:rFonts w:ascii="Arial" w:hAnsi="Arial" w:cs="Arial"/>
              </w:rPr>
              <w:t>1</w:t>
            </w:r>
          </w:p>
        </w:tc>
      </w:tr>
    </w:tbl>
    <w:p w:rsidR="00A607C6" w:rsidRDefault="00A607C6">
      <w:pPr>
        <w:rPr>
          <w:rFonts w:ascii="Arial" w:hAnsi="Arial" w:cs="Arial"/>
        </w:rPr>
      </w:pPr>
    </w:p>
    <w:p w:rsidR="00A607C6" w:rsidRDefault="00870462">
      <w:pPr>
        <w:rPr>
          <w:rFonts w:ascii="Arial" w:hAnsi="Arial" w:cs="Arial"/>
        </w:rPr>
      </w:pPr>
      <w:bookmarkStart w:id="0" w:name="_GoBack"/>
      <w:bookmarkEnd w:id="0"/>
      <w:r>
        <w:rPr>
          <w:rFonts w:ascii="Arial" w:hAnsi="Arial" w:cs="Arial"/>
        </w:rPr>
        <w:br w:type="page"/>
      </w:r>
    </w:p>
    <w:p w:rsidR="00A607C6" w:rsidRDefault="00870462">
      <w:pPr>
        <w:spacing w:after="0" w:line="259" w:lineRule="auto"/>
        <w:ind w:left="135" w:right="0" w:firstLine="0"/>
        <w:jc w:val="center"/>
      </w:pPr>
      <w:r>
        <w:rPr>
          <w:b/>
          <w:i/>
          <w:color w:val="00007F"/>
          <w:sz w:val="52"/>
        </w:rPr>
        <w:lastRenderedPageBreak/>
        <w:t xml:space="preserve"> </w:t>
      </w:r>
    </w:p>
    <w:p w:rsidR="00A607C6" w:rsidRDefault="00870462">
      <w:pPr>
        <w:spacing w:after="183" w:line="259" w:lineRule="auto"/>
        <w:ind w:left="52" w:right="0" w:firstLine="0"/>
        <w:jc w:val="left"/>
      </w:pPr>
      <w:r>
        <w:rPr>
          <w:rFonts w:eastAsia="Times New Roman"/>
          <w:b/>
          <w:sz w:val="28"/>
          <w:szCs w:val="24"/>
        </w:rPr>
        <w:t xml:space="preserve">Introduction </w:t>
      </w:r>
      <w:r>
        <w:rPr>
          <w:rFonts w:ascii="Times New Roman" w:eastAsia="Times New Roman" w:hAnsi="Times New Roman" w:cs="Times New Roman"/>
          <w:b/>
        </w:rPr>
        <w:t xml:space="preserve"> </w:t>
      </w:r>
    </w:p>
    <w:p w:rsidR="00A607C6" w:rsidRDefault="00870462">
      <w:pPr>
        <w:spacing w:after="0"/>
        <w:ind w:right="0"/>
      </w:pPr>
      <w:proofErr w:type="spellStart"/>
      <w:r>
        <w:t>SkillsActive</w:t>
      </w:r>
      <w:proofErr w:type="spellEnd"/>
      <w:r>
        <w:t xml:space="preserve"> is the Sector Skills Council (SSC) for active sport, leisure and wellbeing, including the sport, fitness, outdoor activities, </w:t>
      </w:r>
      <w:proofErr w:type="spellStart"/>
      <w:r>
        <w:t>playwork</w:t>
      </w:r>
      <w:proofErr w:type="spellEnd"/>
      <w:r>
        <w:t xml:space="preserve">, caravan and hair and beauty sectors. Our role is to create the National Occupational Standards that form the basis of all qualifications in the </w:t>
      </w:r>
      <w:proofErr w:type="spellStart"/>
      <w:r>
        <w:t>SkillsActive</w:t>
      </w:r>
      <w:proofErr w:type="spellEnd"/>
      <w:r>
        <w:t xml:space="preserve"> footprint including SVQs, Apprenticeships, as well as industry codes of practice. </w:t>
      </w:r>
    </w:p>
    <w:p w:rsidR="00A607C6" w:rsidRDefault="00870462">
      <w:pPr>
        <w:spacing w:after="16" w:line="259" w:lineRule="auto"/>
        <w:ind w:left="0" w:right="0" w:firstLine="0"/>
        <w:jc w:val="left"/>
      </w:pPr>
      <w:r>
        <w:t xml:space="preserve"> </w:t>
      </w:r>
    </w:p>
    <w:p w:rsidR="00A607C6" w:rsidRDefault="00870462">
      <w:pPr>
        <w:pStyle w:val="Heading1"/>
        <w:numPr>
          <w:ilvl w:val="0"/>
          <w:numId w:val="0"/>
        </w:numPr>
        <w:ind w:right="0"/>
      </w:pPr>
      <w:r>
        <w:t xml:space="preserve">Purpose of the assessment strategy  </w:t>
      </w:r>
    </w:p>
    <w:p w:rsidR="00A607C6" w:rsidRDefault="00870462">
      <w:pPr>
        <w:spacing w:after="0" w:line="259" w:lineRule="auto"/>
        <w:ind w:left="0" w:right="0" w:firstLine="0"/>
        <w:jc w:val="left"/>
      </w:pPr>
      <w:r>
        <w:t xml:space="preserve"> </w:t>
      </w:r>
    </w:p>
    <w:p w:rsidR="00A607C6" w:rsidRDefault="00870462">
      <w:pPr>
        <w:spacing w:after="0"/>
        <w:ind w:left="-5" w:right="0"/>
      </w:pPr>
      <w:r>
        <w:t xml:space="preserve">This Assessment Strategy has been produced by </w:t>
      </w:r>
      <w:proofErr w:type="spellStart"/>
      <w:r>
        <w:t>SkillsActive</w:t>
      </w:r>
      <w:proofErr w:type="spellEnd"/>
      <w:r>
        <w:t xml:space="preserve"> in partnership with industry </w:t>
      </w:r>
    </w:p>
    <w:p w:rsidR="00A607C6" w:rsidRDefault="00870462">
      <w:pPr>
        <w:spacing w:after="0"/>
        <w:ind w:left="-5" w:right="0"/>
      </w:pPr>
      <w:r>
        <w:t xml:space="preserve">and awarding bodies to ensure the SVQ Achieving Excellence in Sports Performance at SCQF Level 8, which has been developed after the approval of </w:t>
      </w:r>
      <w:proofErr w:type="spellStart"/>
      <w:r>
        <w:t>SkillsActive’s</w:t>
      </w:r>
      <w:proofErr w:type="spellEnd"/>
      <w:r>
        <w:t xml:space="preserve"> review of the National Occupational Standards (NOS) for Achieving Excellence in Sports Performance (2019), has credibility in the industry. It outlines the principles and requirements to be applied to the assessment of knowledge, understanding, performance and competence for this qualification and associated units. </w:t>
      </w:r>
    </w:p>
    <w:p w:rsidR="00A607C6" w:rsidRDefault="00870462">
      <w:pPr>
        <w:spacing w:after="0" w:line="259" w:lineRule="auto"/>
        <w:ind w:left="0" w:right="0" w:firstLine="0"/>
        <w:jc w:val="left"/>
      </w:pPr>
      <w:r>
        <w:t xml:space="preserve"> </w:t>
      </w:r>
    </w:p>
    <w:p w:rsidR="00A607C6" w:rsidRDefault="00870462">
      <w:pPr>
        <w:ind w:left="-5" w:right="0"/>
      </w:pPr>
      <w:r>
        <w:t xml:space="preserve">The following sections outline </w:t>
      </w:r>
      <w:proofErr w:type="spellStart"/>
      <w:r>
        <w:t>SkillsActive’s</w:t>
      </w:r>
      <w:proofErr w:type="spellEnd"/>
      <w:r>
        <w:t xml:space="preserve"> industry specific principles </w:t>
      </w:r>
      <w:proofErr w:type="gramStart"/>
      <w:r>
        <w:t>in regard to</w:t>
      </w:r>
      <w:proofErr w:type="gramEnd"/>
      <w:r>
        <w:t xml:space="preserve">: </w:t>
      </w:r>
    </w:p>
    <w:p w:rsidR="00A607C6" w:rsidRDefault="00870462">
      <w:pPr>
        <w:spacing w:after="15" w:line="259" w:lineRule="auto"/>
        <w:ind w:left="0" w:right="0" w:firstLine="0"/>
        <w:jc w:val="left"/>
      </w:pPr>
      <w:r>
        <w:t xml:space="preserve"> </w:t>
      </w:r>
    </w:p>
    <w:p w:rsidR="00A607C6" w:rsidRDefault="00870462">
      <w:pPr>
        <w:numPr>
          <w:ilvl w:val="0"/>
          <w:numId w:val="2"/>
        </w:numPr>
        <w:ind w:right="0" w:hanging="360"/>
      </w:pPr>
      <w:r>
        <w:t xml:space="preserve">External quality control of assessment </w:t>
      </w:r>
    </w:p>
    <w:p w:rsidR="00A607C6" w:rsidRDefault="00870462">
      <w:pPr>
        <w:numPr>
          <w:ilvl w:val="0"/>
          <w:numId w:val="2"/>
        </w:numPr>
        <w:ind w:right="0" w:hanging="360"/>
      </w:pPr>
      <w:r>
        <w:t xml:space="preserve">Workplace assessment, inclusive of the use of simulation </w:t>
      </w:r>
    </w:p>
    <w:p w:rsidR="00A607C6" w:rsidRDefault="00870462">
      <w:pPr>
        <w:numPr>
          <w:ilvl w:val="0"/>
          <w:numId w:val="2"/>
        </w:numPr>
        <w:ind w:right="0" w:hanging="360"/>
      </w:pPr>
      <w:r>
        <w:t xml:space="preserve">Assessment of knowledge and understanding  </w:t>
      </w:r>
    </w:p>
    <w:p w:rsidR="00A607C6" w:rsidRDefault="00870462">
      <w:pPr>
        <w:numPr>
          <w:ilvl w:val="0"/>
          <w:numId w:val="2"/>
        </w:numPr>
        <w:spacing w:after="0" w:line="259" w:lineRule="auto"/>
        <w:ind w:right="0" w:hanging="360"/>
      </w:pPr>
      <w:r>
        <w:t xml:space="preserve">Occupational competence requirements for those involved in the assessment and verification process  </w:t>
      </w:r>
    </w:p>
    <w:p w:rsidR="00A607C6" w:rsidRDefault="00870462">
      <w:pPr>
        <w:spacing w:after="0" w:line="259" w:lineRule="auto"/>
        <w:ind w:left="0" w:right="0" w:firstLine="0"/>
        <w:jc w:val="left"/>
      </w:pPr>
      <w:r>
        <w:t xml:space="preserve"> </w:t>
      </w:r>
    </w:p>
    <w:p w:rsidR="00A607C6" w:rsidRDefault="00870462">
      <w:pPr>
        <w:spacing w:after="0"/>
        <w:ind w:left="-5" w:right="0"/>
      </w:pPr>
      <w:r>
        <w:t xml:space="preserve">These principles are in addition to the requirements that awarding bodies must adhere to for the delivery of qualifications, as required by the qualification regulator for Scotland (SQA Accreditation). Awarding bodies may specify additional requirements for Centres, as they consider necessary in order to enhance the principles and quality of assessment. </w:t>
      </w:r>
    </w:p>
    <w:p w:rsidR="00A607C6" w:rsidRDefault="00870462">
      <w:pPr>
        <w:spacing w:after="0" w:line="259" w:lineRule="auto"/>
        <w:ind w:left="0" w:right="0" w:firstLine="0"/>
        <w:jc w:val="left"/>
      </w:pPr>
      <w:r>
        <w:t xml:space="preserve"> </w:t>
      </w:r>
    </w:p>
    <w:p w:rsidR="00A607C6" w:rsidRDefault="00870462">
      <w:pPr>
        <w:spacing w:after="0"/>
        <w:ind w:left="-5" w:right="0"/>
      </w:pPr>
      <w:r>
        <w:t xml:space="preserve">This strategy supersedes and replaces all previous assessment strategies and supplementary guidance. </w:t>
      </w:r>
    </w:p>
    <w:p w:rsidR="00A607C6" w:rsidRDefault="00870462">
      <w:pPr>
        <w:spacing w:after="0" w:line="259" w:lineRule="auto"/>
        <w:ind w:left="0" w:right="0" w:firstLine="0"/>
        <w:jc w:val="left"/>
      </w:pPr>
      <w:r>
        <w:rPr>
          <w:rFonts w:ascii="Times New Roman" w:eastAsia="Times New Roman" w:hAnsi="Times New Roman" w:cs="Times New Roman"/>
        </w:rPr>
        <w:t xml:space="preserve"> </w:t>
      </w:r>
    </w:p>
    <w:p w:rsidR="00A607C6" w:rsidRDefault="00870462">
      <w:pPr>
        <w:spacing w:after="0" w:line="259" w:lineRule="auto"/>
        <w:ind w:left="0" w:right="0" w:firstLine="0"/>
        <w:jc w:val="left"/>
      </w:pPr>
      <w:r>
        <w:rPr>
          <w:rFonts w:ascii="Times New Roman" w:eastAsia="Times New Roman" w:hAnsi="Times New Roman" w:cs="Times New Roman"/>
        </w:rPr>
        <w:t xml:space="preserve"> </w:t>
      </w:r>
    </w:p>
    <w:p w:rsidR="00A607C6" w:rsidRDefault="00870462">
      <w:pPr>
        <w:spacing w:after="0" w:line="259" w:lineRule="auto"/>
        <w:ind w:left="0" w:right="0" w:firstLine="0"/>
        <w:jc w:val="left"/>
      </w:pPr>
      <w:r>
        <w:rPr>
          <w:rFonts w:ascii="Times New Roman" w:eastAsia="Times New Roman" w:hAnsi="Times New Roman" w:cs="Times New Roman"/>
        </w:rPr>
        <w:t xml:space="preserve"> </w:t>
      </w:r>
    </w:p>
    <w:p w:rsidR="00A607C6" w:rsidRDefault="00870462">
      <w:pPr>
        <w:spacing w:after="0" w:line="259" w:lineRule="auto"/>
        <w:ind w:left="0" w:right="0" w:firstLine="0"/>
        <w:jc w:val="left"/>
      </w:pPr>
      <w:r>
        <w:rPr>
          <w:rFonts w:ascii="Times New Roman" w:eastAsia="Times New Roman" w:hAnsi="Times New Roman" w:cs="Times New Roman"/>
        </w:rPr>
        <w:t xml:space="preserve"> </w:t>
      </w:r>
    </w:p>
    <w:p w:rsidR="00A607C6" w:rsidRDefault="00A607C6">
      <w:pPr>
        <w:pStyle w:val="Heading1"/>
        <w:numPr>
          <w:ilvl w:val="0"/>
          <w:numId w:val="0"/>
        </w:numPr>
        <w:ind w:left="61" w:right="0"/>
        <w:rPr>
          <w:rFonts w:ascii="Times New Roman" w:eastAsia="Times New Roman" w:hAnsi="Times New Roman" w:cs="Times New Roman"/>
        </w:rPr>
      </w:pPr>
    </w:p>
    <w:p w:rsidR="00A607C6" w:rsidRDefault="00A607C6"/>
    <w:p w:rsidR="00A607C6" w:rsidRDefault="00A607C6">
      <w:pPr>
        <w:pStyle w:val="Heading1"/>
        <w:numPr>
          <w:ilvl w:val="0"/>
          <w:numId w:val="0"/>
        </w:numPr>
        <w:ind w:left="61" w:right="0"/>
        <w:rPr>
          <w:rFonts w:ascii="Times New Roman" w:eastAsia="Times New Roman" w:hAnsi="Times New Roman" w:cs="Times New Roman"/>
        </w:rPr>
      </w:pPr>
    </w:p>
    <w:p w:rsidR="00A607C6" w:rsidRDefault="00870462">
      <w:pPr>
        <w:pStyle w:val="Heading1"/>
        <w:numPr>
          <w:ilvl w:val="0"/>
          <w:numId w:val="0"/>
        </w:numPr>
        <w:ind w:left="61" w:right="0"/>
      </w:pPr>
      <w:r>
        <w:rPr>
          <w:rFonts w:ascii="Times New Roman" w:eastAsia="Times New Roman" w:hAnsi="Times New Roman" w:cs="Times New Roman"/>
        </w:rPr>
        <w:t xml:space="preserve"> </w:t>
      </w:r>
      <w:r>
        <w:t xml:space="preserve">Contents </w:t>
      </w:r>
    </w:p>
    <w:p w:rsidR="00A607C6" w:rsidRDefault="00870462">
      <w:pPr>
        <w:spacing w:after="0" w:line="259" w:lineRule="auto"/>
        <w:ind w:left="0" w:right="0" w:firstLine="0"/>
        <w:jc w:val="left"/>
      </w:pPr>
      <w:r>
        <w:rPr>
          <w:rFonts w:ascii="Times New Roman" w:eastAsia="Times New Roman" w:hAnsi="Times New Roman" w:cs="Times New Roman"/>
        </w:rPr>
        <w:t xml:space="preserve"> </w:t>
      </w:r>
    </w:p>
    <w:tbl>
      <w:tblPr>
        <w:tblStyle w:val="TableGrid1"/>
        <w:tblW w:w="10420" w:type="dxa"/>
        <w:tblInd w:w="-107" w:type="dxa"/>
        <w:tblLayout w:type="fixed"/>
        <w:tblCellMar>
          <w:top w:w="87" w:type="dxa"/>
          <w:left w:w="107" w:type="dxa"/>
          <w:right w:w="119" w:type="dxa"/>
        </w:tblCellMar>
        <w:tblLook w:val="04A0" w:firstRow="1" w:lastRow="0" w:firstColumn="1" w:lastColumn="0" w:noHBand="0" w:noVBand="1"/>
      </w:tblPr>
      <w:tblGrid>
        <w:gridCol w:w="533"/>
        <w:gridCol w:w="6414"/>
        <w:gridCol w:w="3473"/>
      </w:tblGrid>
      <w:tr w:rsidR="00A607C6">
        <w:trPr>
          <w:trHeight w:val="327"/>
        </w:trPr>
        <w:tc>
          <w:tcPr>
            <w:tcW w:w="533" w:type="dxa"/>
            <w:vMerge w:val="restart"/>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0" w:right="0" w:firstLine="0"/>
            </w:pPr>
            <w:r>
              <w:rPr>
                <w:color w:val="404040"/>
              </w:rPr>
              <w:t xml:space="preserve"> </w:t>
            </w:r>
          </w:p>
          <w:p w:rsidR="00A607C6" w:rsidRDefault="00870462">
            <w:pPr>
              <w:spacing w:after="0" w:line="259" w:lineRule="auto"/>
              <w:ind w:left="0" w:right="0" w:firstLine="0"/>
            </w:pPr>
            <w:r>
              <w:rPr>
                <w:b/>
                <w:color w:val="404040"/>
                <w:sz w:val="36"/>
              </w:rPr>
              <w:t xml:space="preserve">1 </w:t>
            </w:r>
          </w:p>
        </w:tc>
        <w:tc>
          <w:tcPr>
            <w:tcW w:w="6414"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1" w:right="0" w:firstLine="0"/>
              <w:jc w:val="left"/>
            </w:pPr>
            <w:r>
              <w:rPr>
                <w:b/>
                <w:color w:val="404040"/>
              </w:rPr>
              <w:t xml:space="preserve"> </w:t>
            </w:r>
          </w:p>
        </w:tc>
        <w:tc>
          <w:tcPr>
            <w:tcW w:w="3473"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1" w:right="0" w:firstLine="0"/>
              <w:jc w:val="left"/>
            </w:pPr>
            <w:r>
              <w:rPr>
                <w:color w:val="404040"/>
              </w:rPr>
              <w:t xml:space="preserve"> </w:t>
            </w:r>
          </w:p>
        </w:tc>
      </w:tr>
      <w:tr w:rsidR="00A607C6">
        <w:trPr>
          <w:trHeight w:val="329"/>
        </w:trPr>
        <w:tc>
          <w:tcPr>
            <w:tcW w:w="533" w:type="dxa"/>
            <w:vMerge/>
            <w:tcBorders>
              <w:top w:val="single" w:sz="4" w:space="0" w:color="538DD3"/>
              <w:left w:val="single" w:sz="4" w:space="0" w:color="538DD3"/>
              <w:bottom w:val="single" w:sz="4" w:space="0" w:color="538DD3"/>
              <w:right w:val="single" w:sz="4" w:space="0" w:color="538DD3"/>
            </w:tcBorders>
            <w:shd w:val="clear" w:color="auto" w:fill="DAE5F1"/>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361" w:right="0" w:firstLine="0"/>
              <w:jc w:val="left"/>
            </w:pPr>
            <w:r>
              <w:rPr>
                <w:b/>
                <w:color w:val="404040"/>
              </w:rPr>
              <w:t xml:space="preserve">Quality control of assessment </w:t>
            </w:r>
            <w:r>
              <w:rPr>
                <w:color w:val="404040"/>
              </w:rPr>
              <w:t xml:space="preserve"> </w:t>
            </w:r>
          </w:p>
        </w:tc>
        <w:tc>
          <w:tcPr>
            <w:tcW w:w="3473"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2" w:right="0" w:firstLine="0"/>
              <w:jc w:val="left"/>
            </w:pPr>
            <w:r>
              <w:rPr>
                <w:b/>
                <w:color w:val="404040"/>
              </w:rPr>
              <w:t xml:space="preserve">Page 4 </w:t>
            </w:r>
          </w:p>
        </w:tc>
      </w:tr>
      <w:tr w:rsidR="00A607C6">
        <w:trPr>
          <w:trHeight w:val="332"/>
        </w:trPr>
        <w:tc>
          <w:tcPr>
            <w:tcW w:w="533" w:type="dxa"/>
            <w:tcBorders>
              <w:top w:val="nil"/>
              <w:left w:val="single" w:sz="4" w:space="0" w:color="538DD3"/>
              <w:bottom w:val="nil"/>
              <w:right w:val="single" w:sz="4" w:space="0" w:color="538DD3"/>
            </w:tcBorders>
          </w:tcPr>
          <w:p w:rsidR="00A607C6" w:rsidRDefault="00870462">
            <w:pPr>
              <w:spacing w:after="0" w:line="259" w:lineRule="auto"/>
              <w:ind w:left="0" w:right="0" w:firstLine="0"/>
              <w:jc w:val="left"/>
            </w:pPr>
            <w:r>
              <w:rPr>
                <w:color w:val="404040"/>
              </w:rPr>
              <w:t xml:space="preserve"> </w:t>
            </w: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1" w:right="0" w:firstLine="0"/>
              <w:jc w:val="left"/>
            </w:pPr>
            <w:r>
              <w:rPr>
                <w:color w:val="404040"/>
                <w:sz w:val="20"/>
              </w:rPr>
              <w:t>1.1</w:t>
            </w:r>
            <w:r>
              <w:rPr>
                <w:rFonts w:ascii="Arial" w:eastAsia="Arial" w:hAnsi="Arial" w:cs="Arial"/>
                <w:color w:val="404040"/>
                <w:sz w:val="20"/>
              </w:rPr>
              <w:t xml:space="preserve"> </w:t>
            </w:r>
            <w:r>
              <w:rPr>
                <w:color w:val="404040"/>
              </w:rPr>
              <w:t xml:space="preserve">Internal verification </w:t>
            </w:r>
          </w:p>
        </w:tc>
        <w:tc>
          <w:tcPr>
            <w:tcW w:w="3473"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1" w:right="0" w:firstLine="0"/>
              <w:jc w:val="left"/>
            </w:pPr>
            <w:r>
              <w:rPr>
                <w:color w:val="404040"/>
              </w:rPr>
              <w:t xml:space="preserve">Page 4 </w:t>
            </w:r>
          </w:p>
        </w:tc>
      </w:tr>
      <w:tr w:rsidR="00A607C6">
        <w:trPr>
          <w:trHeight w:val="327"/>
        </w:trPr>
        <w:tc>
          <w:tcPr>
            <w:tcW w:w="533" w:type="dxa"/>
            <w:vMerge w:val="restart"/>
            <w:tcBorders>
              <w:top w:val="nil"/>
              <w:left w:val="single" w:sz="4" w:space="0" w:color="538DD3"/>
              <w:bottom w:val="nil"/>
              <w:right w:val="single" w:sz="4" w:space="0" w:color="538DD3"/>
            </w:tcBorders>
            <w:shd w:val="clear" w:color="auto" w:fill="DAE5F1"/>
          </w:tcPr>
          <w:p w:rsidR="00A607C6" w:rsidRDefault="00870462">
            <w:pPr>
              <w:spacing w:after="0" w:line="259" w:lineRule="auto"/>
              <w:ind w:left="0" w:right="0" w:firstLine="0"/>
            </w:pPr>
            <w:r>
              <w:rPr>
                <w:b/>
                <w:color w:val="404040"/>
                <w:sz w:val="36"/>
              </w:rPr>
              <w:t xml:space="preserve"> </w:t>
            </w:r>
          </w:p>
          <w:p w:rsidR="00A607C6" w:rsidRDefault="00870462">
            <w:pPr>
              <w:spacing w:after="0" w:line="259" w:lineRule="auto"/>
              <w:ind w:left="0" w:right="0" w:firstLine="0"/>
            </w:pPr>
            <w:r>
              <w:rPr>
                <w:color w:val="404040"/>
              </w:rPr>
              <w:t xml:space="preserve"> </w:t>
            </w:r>
          </w:p>
          <w:p w:rsidR="00A607C6" w:rsidRDefault="00A607C6">
            <w:pPr>
              <w:spacing w:after="0" w:line="259" w:lineRule="auto"/>
              <w:ind w:left="0" w:right="0" w:firstLine="0"/>
              <w:rPr>
                <w:b/>
                <w:color w:val="404040"/>
                <w:sz w:val="36"/>
              </w:rPr>
            </w:pPr>
          </w:p>
          <w:p w:rsidR="00A607C6" w:rsidRDefault="00870462">
            <w:pPr>
              <w:spacing w:after="0" w:line="259" w:lineRule="auto"/>
              <w:ind w:left="0" w:right="0" w:firstLine="0"/>
            </w:pPr>
            <w:r>
              <w:rPr>
                <w:b/>
                <w:color w:val="404040"/>
                <w:sz w:val="36"/>
              </w:rPr>
              <w:t xml:space="preserve">2 </w:t>
            </w:r>
          </w:p>
        </w:tc>
        <w:tc>
          <w:tcPr>
            <w:tcW w:w="6414"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1" w:right="0" w:firstLine="0"/>
              <w:jc w:val="left"/>
            </w:pPr>
            <w:r>
              <w:rPr>
                <w:color w:val="404040"/>
                <w:sz w:val="20"/>
              </w:rPr>
              <w:t>1.2</w:t>
            </w:r>
            <w:r>
              <w:rPr>
                <w:rFonts w:ascii="Arial" w:eastAsia="Arial" w:hAnsi="Arial" w:cs="Arial"/>
                <w:color w:val="404040"/>
                <w:sz w:val="20"/>
              </w:rPr>
              <w:t xml:space="preserve"> </w:t>
            </w:r>
            <w:r>
              <w:rPr>
                <w:color w:val="404040"/>
              </w:rPr>
              <w:t>External Quality Control</w:t>
            </w:r>
          </w:p>
        </w:tc>
        <w:tc>
          <w:tcPr>
            <w:tcW w:w="3473"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1" w:right="0" w:firstLine="0"/>
              <w:jc w:val="left"/>
            </w:pPr>
            <w:r>
              <w:rPr>
                <w:color w:val="404040"/>
              </w:rPr>
              <w:t xml:space="preserve">Page 4 </w:t>
            </w:r>
          </w:p>
        </w:tc>
      </w:tr>
      <w:tr w:rsidR="00A607C6">
        <w:trPr>
          <w:trHeight w:val="330"/>
        </w:trPr>
        <w:tc>
          <w:tcPr>
            <w:tcW w:w="533" w:type="dxa"/>
            <w:vMerge/>
            <w:tcBorders>
              <w:top w:val="nil"/>
              <w:left w:val="single" w:sz="4" w:space="0" w:color="538DD3"/>
              <w:bottom w:val="single" w:sz="4" w:space="0" w:color="538DD3"/>
              <w:right w:val="single" w:sz="4" w:space="0" w:color="538DD3"/>
            </w:tcBorders>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right="0"/>
              <w:jc w:val="left"/>
            </w:pPr>
            <w:r>
              <w:rPr>
                <w:color w:val="404040"/>
                <w:sz w:val="20"/>
              </w:rPr>
              <w:t>1.3</w:t>
            </w:r>
            <w:r>
              <w:rPr>
                <w:rFonts w:ascii="Arial" w:eastAsia="Arial" w:hAnsi="Arial" w:cs="Arial"/>
                <w:color w:val="404040"/>
                <w:sz w:val="20"/>
              </w:rPr>
              <w:t xml:space="preserve"> </w:t>
            </w:r>
            <w:r>
              <w:rPr>
                <w:color w:val="404040"/>
              </w:rPr>
              <w:t xml:space="preserve">Risk Assessment </w:t>
            </w:r>
          </w:p>
        </w:tc>
        <w:tc>
          <w:tcPr>
            <w:tcW w:w="3473"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3" w:right="0" w:firstLine="0"/>
              <w:jc w:val="left"/>
            </w:pPr>
            <w:r>
              <w:rPr>
                <w:color w:val="404040"/>
              </w:rPr>
              <w:t xml:space="preserve">Page 5 </w:t>
            </w:r>
          </w:p>
        </w:tc>
      </w:tr>
      <w:tr w:rsidR="00A607C6">
        <w:trPr>
          <w:trHeight w:val="329"/>
        </w:trPr>
        <w:tc>
          <w:tcPr>
            <w:tcW w:w="533" w:type="dxa"/>
            <w:vMerge/>
            <w:tcBorders>
              <w:top w:val="single" w:sz="4" w:space="0" w:color="538DD3"/>
              <w:left w:val="single" w:sz="4" w:space="0" w:color="538DD3"/>
              <w:bottom w:val="single" w:sz="4" w:space="0" w:color="538DD3"/>
              <w:right w:val="single" w:sz="4" w:space="0" w:color="538DD3"/>
            </w:tcBorders>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361" w:right="0" w:firstLine="0"/>
              <w:jc w:val="left"/>
            </w:pPr>
            <w:r>
              <w:rPr>
                <w:b/>
                <w:color w:val="404040"/>
              </w:rPr>
              <w:t xml:space="preserve"> </w:t>
            </w:r>
          </w:p>
        </w:tc>
        <w:tc>
          <w:tcPr>
            <w:tcW w:w="3473"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3" w:right="0" w:firstLine="0"/>
              <w:jc w:val="left"/>
            </w:pPr>
            <w:r>
              <w:rPr>
                <w:color w:val="404040"/>
              </w:rPr>
              <w:t xml:space="preserve"> </w:t>
            </w:r>
          </w:p>
        </w:tc>
      </w:tr>
      <w:tr w:rsidR="00A607C6">
        <w:trPr>
          <w:trHeight w:val="329"/>
        </w:trPr>
        <w:tc>
          <w:tcPr>
            <w:tcW w:w="533" w:type="dxa"/>
            <w:vMerge/>
            <w:tcBorders>
              <w:top w:val="single" w:sz="4" w:space="0" w:color="538DD3"/>
              <w:left w:val="single" w:sz="4" w:space="0" w:color="538DD3"/>
              <w:bottom w:val="single" w:sz="4" w:space="0" w:color="538DD3"/>
              <w:right w:val="single" w:sz="4" w:space="0" w:color="538DD3"/>
            </w:tcBorders>
            <w:shd w:val="clear" w:color="auto" w:fill="DAE5F1"/>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361" w:right="0" w:firstLine="0"/>
              <w:jc w:val="left"/>
            </w:pPr>
            <w:r>
              <w:rPr>
                <w:b/>
                <w:color w:val="404040"/>
              </w:rPr>
              <w:t xml:space="preserve">Workplace assessment </w:t>
            </w:r>
            <w:r>
              <w:rPr>
                <w:color w:val="404040"/>
              </w:rPr>
              <w:t xml:space="preserve"> </w:t>
            </w:r>
          </w:p>
        </w:tc>
        <w:tc>
          <w:tcPr>
            <w:tcW w:w="3473"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1" w:right="0" w:firstLine="0"/>
              <w:jc w:val="left"/>
            </w:pPr>
            <w:r>
              <w:rPr>
                <w:b/>
                <w:color w:val="404040"/>
              </w:rPr>
              <w:t xml:space="preserve">Page 6 </w:t>
            </w:r>
          </w:p>
        </w:tc>
      </w:tr>
      <w:tr w:rsidR="00A607C6">
        <w:trPr>
          <w:trHeight w:val="331"/>
        </w:trPr>
        <w:tc>
          <w:tcPr>
            <w:tcW w:w="533" w:type="dxa"/>
            <w:tcBorders>
              <w:top w:val="nil"/>
              <w:left w:val="single" w:sz="4" w:space="0" w:color="538DD3"/>
              <w:bottom w:val="nil"/>
              <w:right w:val="single" w:sz="4" w:space="0" w:color="538DD3"/>
            </w:tcBorders>
          </w:tcPr>
          <w:p w:rsidR="00A607C6" w:rsidRDefault="00870462">
            <w:pPr>
              <w:spacing w:after="0" w:line="259" w:lineRule="auto"/>
              <w:ind w:left="0" w:right="0" w:firstLine="0"/>
            </w:pPr>
            <w:r>
              <w:rPr>
                <w:color w:val="404040"/>
              </w:rPr>
              <w:t xml:space="preserve"> </w:t>
            </w: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1" w:right="0" w:firstLine="0"/>
              <w:jc w:val="left"/>
            </w:pPr>
            <w:r>
              <w:rPr>
                <w:sz w:val="20"/>
              </w:rPr>
              <w:t>2.1</w:t>
            </w:r>
            <w:r>
              <w:rPr>
                <w:rFonts w:ascii="Arial" w:eastAsia="Arial" w:hAnsi="Arial" w:cs="Arial"/>
                <w:sz w:val="20"/>
              </w:rPr>
              <w:t xml:space="preserve"> </w:t>
            </w:r>
            <w:r>
              <w:rPr>
                <w:color w:val="404040"/>
              </w:rPr>
              <w:t xml:space="preserve">Simulation </w:t>
            </w:r>
          </w:p>
        </w:tc>
        <w:tc>
          <w:tcPr>
            <w:tcW w:w="3473"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1" w:right="0" w:firstLine="0"/>
              <w:jc w:val="left"/>
            </w:pPr>
            <w:r>
              <w:rPr>
                <w:color w:val="404040"/>
              </w:rPr>
              <w:t>Page 6</w:t>
            </w:r>
          </w:p>
        </w:tc>
      </w:tr>
      <w:tr w:rsidR="00A607C6">
        <w:trPr>
          <w:trHeight w:val="326"/>
        </w:trPr>
        <w:tc>
          <w:tcPr>
            <w:tcW w:w="533" w:type="dxa"/>
            <w:vMerge w:val="restart"/>
            <w:tcBorders>
              <w:top w:val="nil"/>
              <w:left w:val="single" w:sz="4" w:space="0" w:color="538DD3"/>
              <w:bottom w:val="nil"/>
              <w:right w:val="single" w:sz="4" w:space="0" w:color="538DD3"/>
            </w:tcBorders>
            <w:shd w:val="clear" w:color="auto" w:fill="DAE5F1"/>
          </w:tcPr>
          <w:p w:rsidR="00A607C6" w:rsidRDefault="00A607C6">
            <w:pPr>
              <w:spacing w:after="0" w:line="259" w:lineRule="auto"/>
              <w:ind w:left="0" w:right="0" w:firstLine="0"/>
            </w:pPr>
          </w:p>
          <w:p w:rsidR="00A607C6" w:rsidRDefault="00A607C6">
            <w:pPr>
              <w:spacing w:after="0" w:line="259" w:lineRule="auto"/>
              <w:ind w:left="0" w:right="0" w:firstLine="0"/>
            </w:pPr>
          </w:p>
          <w:p w:rsidR="00A607C6" w:rsidRDefault="00A607C6">
            <w:pPr>
              <w:spacing w:after="0" w:line="259" w:lineRule="auto"/>
              <w:ind w:left="0" w:right="0" w:firstLine="0"/>
            </w:pPr>
          </w:p>
          <w:p w:rsidR="00A607C6" w:rsidRDefault="00A607C6">
            <w:pPr>
              <w:spacing w:after="0" w:line="259" w:lineRule="auto"/>
              <w:ind w:left="0" w:right="0" w:firstLine="0"/>
            </w:pPr>
          </w:p>
          <w:p w:rsidR="00A607C6" w:rsidRDefault="00870462">
            <w:pPr>
              <w:spacing w:after="0" w:line="259" w:lineRule="auto"/>
              <w:ind w:left="0" w:right="0" w:firstLine="0"/>
            </w:pPr>
            <w:r>
              <w:rPr>
                <w:b/>
                <w:color w:val="404040"/>
                <w:sz w:val="36"/>
              </w:rPr>
              <w:t>3</w:t>
            </w:r>
          </w:p>
        </w:tc>
        <w:tc>
          <w:tcPr>
            <w:tcW w:w="6414"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1" w:right="0" w:firstLine="0"/>
              <w:jc w:val="left"/>
            </w:pPr>
            <w:r>
              <w:rPr>
                <w:sz w:val="20"/>
              </w:rPr>
              <w:t>2.2</w:t>
            </w:r>
            <w:r>
              <w:rPr>
                <w:rFonts w:ascii="Arial" w:eastAsia="Arial" w:hAnsi="Arial" w:cs="Arial"/>
                <w:sz w:val="20"/>
              </w:rPr>
              <w:t xml:space="preserve"> </w:t>
            </w:r>
            <w:r>
              <w:rPr>
                <w:color w:val="404040"/>
              </w:rPr>
              <w:t xml:space="preserve">Units where simulation is permitted </w:t>
            </w:r>
          </w:p>
        </w:tc>
        <w:tc>
          <w:tcPr>
            <w:tcW w:w="3473"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1" w:right="0" w:firstLine="0"/>
              <w:jc w:val="left"/>
            </w:pPr>
            <w:r>
              <w:rPr>
                <w:color w:val="404040"/>
              </w:rPr>
              <w:t xml:space="preserve">Page 7 </w:t>
            </w:r>
          </w:p>
        </w:tc>
      </w:tr>
      <w:tr w:rsidR="00A607C6">
        <w:trPr>
          <w:trHeight w:val="331"/>
        </w:trPr>
        <w:tc>
          <w:tcPr>
            <w:tcW w:w="533" w:type="dxa"/>
            <w:vMerge/>
            <w:tcBorders>
              <w:top w:val="nil"/>
              <w:left w:val="single" w:sz="4" w:space="0" w:color="538DD3"/>
              <w:bottom w:val="single" w:sz="4" w:space="0" w:color="538DD3"/>
              <w:right w:val="single" w:sz="4" w:space="0" w:color="538DD3"/>
            </w:tcBorders>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right="0"/>
              <w:jc w:val="left"/>
            </w:pPr>
            <w:r>
              <w:rPr>
                <w:color w:val="404040"/>
              </w:rPr>
              <w:t xml:space="preserve"> </w:t>
            </w:r>
          </w:p>
        </w:tc>
        <w:tc>
          <w:tcPr>
            <w:tcW w:w="3473" w:type="dxa"/>
            <w:tcBorders>
              <w:top w:val="single" w:sz="4" w:space="0" w:color="538DD3"/>
              <w:left w:val="single" w:sz="4" w:space="0" w:color="538DD3"/>
              <w:bottom w:val="single" w:sz="4" w:space="0" w:color="538DD3"/>
              <w:right w:val="single" w:sz="4" w:space="0" w:color="538DD3"/>
            </w:tcBorders>
          </w:tcPr>
          <w:p w:rsidR="00A607C6" w:rsidRDefault="00A607C6">
            <w:pPr>
              <w:spacing w:after="0" w:line="259" w:lineRule="auto"/>
              <w:ind w:left="2" w:right="0" w:firstLine="0"/>
              <w:jc w:val="left"/>
            </w:pPr>
          </w:p>
        </w:tc>
      </w:tr>
      <w:tr w:rsidR="00A607C6">
        <w:trPr>
          <w:trHeight w:val="329"/>
        </w:trPr>
        <w:tc>
          <w:tcPr>
            <w:tcW w:w="533" w:type="dxa"/>
            <w:vMerge/>
            <w:tcBorders>
              <w:top w:val="single" w:sz="4" w:space="0" w:color="538DD3"/>
              <w:left w:val="single" w:sz="4" w:space="0" w:color="538DD3"/>
              <w:bottom w:val="single" w:sz="4" w:space="0" w:color="538DD3"/>
              <w:right w:val="single" w:sz="4" w:space="0" w:color="538DD3"/>
            </w:tcBorders>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361" w:right="0" w:firstLine="0"/>
              <w:jc w:val="left"/>
            </w:pPr>
            <w:r>
              <w:rPr>
                <w:b/>
                <w:color w:val="404040"/>
              </w:rPr>
              <w:t xml:space="preserve"> </w:t>
            </w:r>
          </w:p>
        </w:tc>
        <w:tc>
          <w:tcPr>
            <w:tcW w:w="3473"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4" w:right="0" w:firstLine="0"/>
              <w:jc w:val="left"/>
            </w:pPr>
            <w:r>
              <w:rPr>
                <w:color w:val="404040"/>
              </w:rPr>
              <w:t xml:space="preserve"> </w:t>
            </w:r>
          </w:p>
        </w:tc>
      </w:tr>
      <w:tr w:rsidR="00A607C6">
        <w:trPr>
          <w:trHeight w:val="329"/>
        </w:trPr>
        <w:tc>
          <w:tcPr>
            <w:tcW w:w="533" w:type="dxa"/>
            <w:vMerge/>
            <w:tcBorders>
              <w:top w:val="single" w:sz="4" w:space="0" w:color="538DD3"/>
              <w:left w:val="single" w:sz="4" w:space="0" w:color="538DD3"/>
              <w:bottom w:val="single" w:sz="4" w:space="0" w:color="538DD3"/>
              <w:right w:val="single" w:sz="4" w:space="0" w:color="538DD3"/>
            </w:tcBorders>
            <w:shd w:val="clear" w:color="auto" w:fill="DAE5F1"/>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361" w:right="0" w:firstLine="0"/>
              <w:jc w:val="left"/>
            </w:pPr>
            <w:r>
              <w:rPr>
                <w:b/>
                <w:color w:val="404040"/>
              </w:rPr>
              <w:t>Assessment and sources of evidence</w:t>
            </w:r>
            <w:r>
              <w:rPr>
                <w:color w:val="404040"/>
              </w:rPr>
              <w:t xml:space="preserve"> </w:t>
            </w:r>
          </w:p>
        </w:tc>
        <w:tc>
          <w:tcPr>
            <w:tcW w:w="3473"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2" w:right="0" w:firstLine="0"/>
              <w:jc w:val="left"/>
            </w:pPr>
            <w:r>
              <w:rPr>
                <w:b/>
                <w:color w:val="404040"/>
              </w:rPr>
              <w:t xml:space="preserve">Page 7 </w:t>
            </w:r>
          </w:p>
        </w:tc>
      </w:tr>
      <w:tr w:rsidR="00A607C6">
        <w:trPr>
          <w:trHeight w:val="331"/>
        </w:trPr>
        <w:tc>
          <w:tcPr>
            <w:tcW w:w="533" w:type="dxa"/>
            <w:tcBorders>
              <w:top w:val="nil"/>
              <w:left w:val="single" w:sz="4" w:space="0" w:color="538DD3"/>
              <w:bottom w:val="nil"/>
              <w:right w:val="single" w:sz="4" w:space="0" w:color="538DD3"/>
            </w:tcBorders>
          </w:tcPr>
          <w:p w:rsidR="00A607C6" w:rsidRDefault="00870462">
            <w:pPr>
              <w:spacing w:after="0" w:line="259" w:lineRule="auto"/>
              <w:ind w:left="0" w:right="0" w:firstLine="0"/>
              <w:jc w:val="left"/>
            </w:pPr>
            <w:r>
              <w:rPr>
                <w:color w:val="404040"/>
              </w:rPr>
              <w:t xml:space="preserve"> </w:t>
            </w: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1" w:right="0" w:firstLine="0"/>
              <w:jc w:val="left"/>
            </w:pPr>
            <w:r>
              <w:rPr>
                <w:sz w:val="20"/>
              </w:rPr>
              <w:t>3.1</w:t>
            </w:r>
            <w:r>
              <w:rPr>
                <w:rFonts w:ascii="Arial" w:eastAsia="Arial" w:hAnsi="Arial" w:cs="Arial"/>
                <w:sz w:val="20"/>
              </w:rPr>
              <w:t xml:space="preserve"> </w:t>
            </w:r>
            <w:r>
              <w:rPr>
                <w:color w:val="404040"/>
              </w:rPr>
              <w:t>Assessment of knowledge and understanding</w:t>
            </w:r>
          </w:p>
        </w:tc>
        <w:tc>
          <w:tcPr>
            <w:tcW w:w="3473"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1" w:right="0" w:firstLine="0"/>
              <w:jc w:val="left"/>
            </w:pPr>
            <w:r>
              <w:rPr>
                <w:color w:val="404040"/>
              </w:rPr>
              <w:t xml:space="preserve">Page 7 </w:t>
            </w:r>
          </w:p>
        </w:tc>
      </w:tr>
      <w:tr w:rsidR="00A607C6">
        <w:trPr>
          <w:trHeight w:val="326"/>
        </w:trPr>
        <w:tc>
          <w:tcPr>
            <w:tcW w:w="533" w:type="dxa"/>
            <w:vMerge w:val="restart"/>
            <w:tcBorders>
              <w:top w:val="nil"/>
              <w:left w:val="single" w:sz="4" w:space="0" w:color="538DD3"/>
              <w:bottom w:val="nil"/>
              <w:right w:val="single" w:sz="4" w:space="0" w:color="538DD3"/>
            </w:tcBorders>
            <w:shd w:val="clear" w:color="auto" w:fill="DAE5F1"/>
          </w:tcPr>
          <w:p w:rsidR="00A607C6" w:rsidRDefault="00A607C6">
            <w:pPr>
              <w:spacing w:after="0" w:line="259" w:lineRule="auto"/>
              <w:ind w:left="0" w:right="0" w:firstLine="0"/>
            </w:pPr>
          </w:p>
          <w:p w:rsidR="00A607C6" w:rsidRDefault="00870462">
            <w:pPr>
              <w:spacing w:after="0" w:line="259" w:lineRule="auto"/>
              <w:ind w:left="0" w:right="0" w:firstLine="0"/>
            </w:pPr>
            <w:r>
              <w:rPr>
                <w:color w:val="404040"/>
              </w:rPr>
              <w:t xml:space="preserve"> </w:t>
            </w:r>
          </w:p>
          <w:p w:rsidR="00A607C6" w:rsidRDefault="00A607C6">
            <w:pPr>
              <w:spacing w:after="0" w:line="259" w:lineRule="auto"/>
              <w:ind w:left="0" w:right="0" w:firstLine="0"/>
              <w:rPr>
                <w:b/>
                <w:color w:val="404040"/>
                <w:sz w:val="36"/>
              </w:rPr>
            </w:pPr>
          </w:p>
          <w:p w:rsidR="00A607C6" w:rsidRDefault="00870462">
            <w:pPr>
              <w:spacing w:after="0" w:line="259" w:lineRule="auto"/>
              <w:ind w:left="0" w:right="0" w:firstLine="0"/>
            </w:pPr>
            <w:r>
              <w:rPr>
                <w:b/>
                <w:color w:val="404040"/>
                <w:sz w:val="36"/>
              </w:rPr>
              <w:t>4</w:t>
            </w:r>
          </w:p>
        </w:tc>
        <w:tc>
          <w:tcPr>
            <w:tcW w:w="6414"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1" w:right="0" w:firstLine="0"/>
              <w:jc w:val="left"/>
            </w:pPr>
            <w:r>
              <w:rPr>
                <w:sz w:val="20"/>
              </w:rPr>
              <w:t>3.2</w:t>
            </w:r>
            <w:r>
              <w:rPr>
                <w:rFonts w:ascii="Arial" w:eastAsia="Arial" w:hAnsi="Arial" w:cs="Arial"/>
                <w:sz w:val="20"/>
              </w:rPr>
              <w:t xml:space="preserve"> </w:t>
            </w:r>
            <w:r>
              <w:rPr>
                <w:color w:val="404040"/>
              </w:rPr>
              <w:t xml:space="preserve">Supporting evidence </w:t>
            </w:r>
          </w:p>
        </w:tc>
        <w:tc>
          <w:tcPr>
            <w:tcW w:w="3473"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1" w:right="0" w:firstLine="0"/>
              <w:jc w:val="left"/>
            </w:pPr>
            <w:r>
              <w:rPr>
                <w:color w:val="404040"/>
              </w:rPr>
              <w:t xml:space="preserve">Page 8 </w:t>
            </w:r>
          </w:p>
        </w:tc>
      </w:tr>
      <w:tr w:rsidR="00A607C6">
        <w:trPr>
          <w:trHeight w:val="331"/>
        </w:trPr>
        <w:tc>
          <w:tcPr>
            <w:tcW w:w="533" w:type="dxa"/>
            <w:vMerge/>
            <w:tcBorders>
              <w:top w:val="nil"/>
              <w:left w:val="single" w:sz="4" w:space="0" w:color="538DD3"/>
              <w:bottom w:val="single" w:sz="4" w:space="0" w:color="538DD3"/>
              <w:right w:val="single" w:sz="4" w:space="0" w:color="538DD3"/>
            </w:tcBorders>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right="0"/>
              <w:jc w:val="left"/>
            </w:pPr>
            <w:r>
              <w:rPr>
                <w:sz w:val="20"/>
              </w:rPr>
              <w:t xml:space="preserve">3.3 </w:t>
            </w:r>
            <w:r>
              <w:rPr>
                <w:color w:val="404040"/>
              </w:rPr>
              <w:t xml:space="preserve">Alternative forms of recording evidence using ICT  </w:t>
            </w:r>
          </w:p>
        </w:tc>
        <w:tc>
          <w:tcPr>
            <w:tcW w:w="3473"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2" w:right="0" w:firstLine="0"/>
              <w:jc w:val="left"/>
            </w:pPr>
            <w:r>
              <w:rPr>
                <w:color w:val="404040"/>
              </w:rPr>
              <w:t>Page 8</w:t>
            </w:r>
          </w:p>
        </w:tc>
      </w:tr>
      <w:tr w:rsidR="00A607C6">
        <w:trPr>
          <w:trHeight w:val="329"/>
        </w:trPr>
        <w:tc>
          <w:tcPr>
            <w:tcW w:w="533" w:type="dxa"/>
            <w:vMerge/>
            <w:tcBorders>
              <w:top w:val="single" w:sz="4" w:space="0" w:color="538DD3"/>
              <w:left w:val="single" w:sz="4" w:space="0" w:color="538DD3"/>
              <w:bottom w:val="single" w:sz="4" w:space="0" w:color="538DD3"/>
              <w:right w:val="single" w:sz="4" w:space="0" w:color="538DD3"/>
            </w:tcBorders>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361" w:right="0" w:firstLine="0"/>
              <w:jc w:val="left"/>
            </w:pPr>
            <w:r>
              <w:rPr>
                <w:b/>
                <w:color w:val="404040"/>
              </w:rPr>
              <w:t xml:space="preserve"> </w:t>
            </w:r>
          </w:p>
        </w:tc>
        <w:tc>
          <w:tcPr>
            <w:tcW w:w="3473"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3" w:right="0" w:firstLine="0"/>
              <w:jc w:val="left"/>
            </w:pPr>
            <w:r>
              <w:rPr>
                <w:color w:val="404040"/>
              </w:rPr>
              <w:t xml:space="preserve"> </w:t>
            </w:r>
          </w:p>
        </w:tc>
      </w:tr>
      <w:tr w:rsidR="00A607C6">
        <w:trPr>
          <w:trHeight w:val="328"/>
        </w:trPr>
        <w:tc>
          <w:tcPr>
            <w:tcW w:w="533" w:type="dxa"/>
            <w:vMerge/>
            <w:tcBorders>
              <w:top w:val="single" w:sz="4" w:space="0" w:color="538DD3"/>
              <w:left w:val="single" w:sz="4" w:space="0" w:color="538DD3"/>
              <w:bottom w:val="single" w:sz="4" w:space="0" w:color="538DD3"/>
              <w:right w:val="single" w:sz="4" w:space="0" w:color="538DD3"/>
            </w:tcBorders>
            <w:shd w:val="clear" w:color="auto" w:fill="DAE5F1"/>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361" w:right="0" w:firstLine="0"/>
              <w:jc w:val="left"/>
            </w:pPr>
            <w:r>
              <w:rPr>
                <w:b/>
                <w:color w:val="404040"/>
              </w:rPr>
              <w:t xml:space="preserve">Occupational competence requirements for those involved in the assessment and verification process </w:t>
            </w:r>
            <w:r>
              <w:rPr>
                <w:color w:val="404040"/>
              </w:rPr>
              <w:t xml:space="preserve"> </w:t>
            </w:r>
          </w:p>
        </w:tc>
        <w:tc>
          <w:tcPr>
            <w:tcW w:w="3473"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0" w:right="0" w:firstLine="0"/>
              <w:jc w:val="left"/>
            </w:pPr>
            <w:r>
              <w:rPr>
                <w:b/>
                <w:color w:val="404040"/>
              </w:rPr>
              <w:t xml:space="preserve">Page 9 </w:t>
            </w:r>
          </w:p>
        </w:tc>
      </w:tr>
      <w:tr w:rsidR="00A607C6">
        <w:trPr>
          <w:trHeight w:val="332"/>
        </w:trPr>
        <w:tc>
          <w:tcPr>
            <w:tcW w:w="533" w:type="dxa"/>
            <w:tcBorders>
              <w:top w:val="nil"/>
              <w:left w:val="single" w:sz="4" w:space="0" w:color="538DD3"/>
              <w:bottom w:val="nil"/>
              <w:right w:val="single" w:sz="4" w:space="0" w:color="538DD3"/>
            </w:tcBorders>
          </w:tcPr>
          <w:p w:rsidR="00A607C6" w:rsidRDefault="00870462">
            <w:pPr>
              <w:spacing w:after="0" w:line="259" w:lineRule="auto"/>
              <w:ind w:left="0" w:right="0" w:firstLine="0"/>
              <w:jc w:val="left"/>
            </w:pPr>
            <w:r>
              <w:rPr>
                <w:color w:val="404040"/>
              </w:rPr>
              <w:t xml:space="preserve"> </w:t>
            </w: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1" w:right="0" w:firstLine="0"/>
              <w:jc w:val="left"/>
            </w:pPr>
            <w:r>
              <w:rPr>
                <w:color w:val="404040"/>
                <w:sz w:val="20"/>
              </w:rPr>
              <w:t>4.1</w:t>
            </w:r>
            <w:r>
              <w:rPr>
                <w:rFonts w:ascii="Arial" w:eastAsia="Arial" w:hAnsi="Arial" w:cs="Arial"/>
                <w:color w:val="404040"/>
                <w:sz w:val="20"/>
              </w:rPr>
              <w:t xml:space="preserve"> </w:t>
            </w:r>
            <w:r>
              <w:rPr>
                <w:color w:val="404040"/>
              </w:rPr>
              <w:t xml:space="preserve">Expert Witness </w:t>
            </w:r>
          </w:p>
        </w:tc>
        <w:tc>
          <w:tcPr>
            <w:tcW w:w="3473"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1" w:right="0" w:firstLine="0"/>
              <w:jc w:val="left"/>
            </w:pPr>
            <w:r>
              <w:rPr>
                <w:color w:val="404040"/>
              </w:rPr>
              <w:t xml:space="preserve">Page 9 </w:t>
            </w:r>
          </w:p>
        </w:tc>
      </w:tr>
      <w:tr w:rsidR="00A607C6">
        <w:trPr>
          <w:trHeight w:val="646"/>
        </w:trPr>
        <w:tc>
          <w:tcPr>
            <w:tcW w:w="533" w:type="dxa"/>
            <w:vMerge w:val="restart"/>
            <w:tcBorders>
              <w:top w:val="nil"/>
              <w:left w:val="single" w:sz="4" w:space="0" w:color="538DD3"/>
              <w:bottom w:val="nil"/>
              <w:right w:val="single" w:sz="4" w:space="0" w:color="538DD3"/>
            </w:tcBorders>
            <w:shd w:val="clear" w:color="auto" w:fill="DAE5F1"/>
          </w:tcPr>
          <w:p w:rsidR="00A607C6" w:rsidRDefault="00A607C6">
            <w:pPr>
              <w:spacing w:after="0" w:line="259" w:lineRule="auto"/>
              <w:ind w:left="0" w:right="0" w:firstLine="0"/>
            </w:pPr>
          </w:p>
        </w:tc>
        <w:tc>
          <w:tcPr>
            <w:tcW w:w="6414"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1" w:right="0" w:firstLine="0"/>
              <w:jc w:val="left"/>
            </w:pPr>
            <w:r>
              <w:rPr>
                <w:color w:val="404040"/>
                <w:sz w:val="20"/>
              </w:rPr>
              <w:t>4.2</w:t>
            </w:r>
            <w:r>
              <w:rPr>
                <w:rFonts w:ascii="Arial" w:eastAsia="Arial" w:hAnsi="Arial" w:cs="Arial"/>
                <w:color w:val="404040"/>
                <w:sz w:val="20"/>
              </w:rPr>
              <w:t xml:space="preserve"> </w:t>
            </w:r>
            <w:r>
              <w:rPr>
                <w:color w:val="404040"/>
              </w:rPr>
              <w:t xml:space="preserve">Assessor </w:t>
            </w:r>
          </w:p>
        </w:tc>
        <w:tc>
          <w:tcPr>
            <w:tcW w:w="3473" w:type="dxa"/>
            <w:tcBorders>
              <w:top w:val="single" w:sz="4" w:space="0" w:color="538DD3"/>
              <w:left w:val="single" w:sz="4" w:space="0" w:color="538DD3"/>
              <w:bottom w:val="single" w:sz="4" w:space="0" w:color="538DD3"/>
              <w:right w:val="single" w:sz="4" w:space="0" w:color="538DD3"/>
            </w:tcBorders>
            <w:shd w:val="clear" w:color="auto" w:fill="DAE5F1"/>
          </w:tcPr>
          <w:p w:rsidR="00A607C6" w:rsidRDefault="00870462">
            <w:pPr>
              <w:spacing w:after="0" w:line="259" w:lineRule="auto"/>
              <w:ind w:left="1" w:right="0" w:firstLine="0"/>
              <w:jc w:val="left"/>
            </w:pPr>
            <w:r>
              <w:rPr>
                <w:color w:val="404040"/>
              </w:rPr>
              <w:t>Page 10</w:t>
            </w:r>
          </w:p>
        </w:tc>
      </w:tr>
      <w:tr w:rsidR="00A607C6">
        <w:trPr>
          <w:trHeight w:val="330"/>
        </w:trPr>
        <w:tc>
          <w:tcPr>
            <w:tcW w:w="533" w:type="dxa"/>
            <w:vMerge/>
            <w:tcBorders>
              <w:top w:val="nil"/>
              <w:left w:val="single" w:sz="4" w:space="0" w:color="538DD3"/>
              <w:bottom w:val="nil"/>
              <w:right w:val="single" w:sz="4" w:space="0" w:color="538DD3"/>
            </w:tcBorders>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0" w:right="0" w:firstLine="0"/>
              <w:jc w:val="left"/>
            </w:pPr>
            <w:r>
              <w:rPr>
                <w:color w:val="404040"/>
                <w:sz w:val="20"/>
              </w:rPr>
              <w:t>4.3</w:t>
            </w:r>
            <w:r>
              <w:rPr>
                <w:rFonts w:ascii="Arial" w:eastAsia="Arial" w:hAnsi="Arial" w:cs="Arial"/>
                <w:color w:val="404040"/>
                <w:sz w:val="20"/>
              </w:rPr>
              <w:t xml:space="preserve"> </w:t>
            </w:r>
            <w:r>
              <w:rPr>
                <w:color w:val="404040"/>
              </w:rPr>
              <w:t xml:space="preserve">Internal Verifier </w:t>
            </w:r>
          </w:p>
        </w:tc>
        <w:tc>
          <w:tcPr>
            <w:tcW w:w="3473"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2" w:right="0" w:firstLine="0"/>
              <w:jc w:val="left"/>
            </w:pPr>
            <w:r>
              <w:rPr>
                <w:color w:val="404040"/>
              </w:rPr>
              <w:t xml:space="preserve">Page 12 </w:t>
            </w:r>
          </w:p>
        </w:tc>
      </w:tr>
      <w:tr w:rsidR="00A607C6">
        <w:trPr>
          <w:trHeight w:val="330"/>
        </w:trPr>
        <w:tc>
          <w:tcPr>
            <w:tcW w:w="533" w:type="dxa"/>
            <w:vMerge/>
            <w:tcBorders>
              <w:top w:val="nil"/>
              <w:left w:val="single" w:sz="4" w:space="0" w:color="538DD3"/>
              <w:bottom w:val="single" w:sz="4" w:space="0" w:color="538DD3"/>
              <w:right w:val="single" w:sz="4" w:space="0" w:color="538DD3"/>
            </w:tcBorders>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right="0"/>
              <w:jc w:val="left"/>
            </w:pPr>
            <w:r>
              <w:rPr>
                <w:color w:val="404040"/>
                <w:sz w:val="20"/>
              </w:rPr>
              <w:t>4.4</w:t>
            </w:r>
            <w:r>
              <w:rPr>
                <w:rFonts w:ascii="Arial" w:eastAsia="Arial" w:hAnsi="Arial" w:cs="Arial"/>
                <w:color w:val="404040"/>
                <w:sz w:val="20"/>
              </w:rPr>
              <w:t xml:space="preserve"> </w:t>
            </w:r>
            <w:r>
              <w:rPr>
                <w:color w:val="404040"/>
              </w:rPr>
              <w:t xml:space="preserve">External Verifier </w:t>
            </w:r>
          </w:p>
        </w:tc>
        <w:tc>
          <w:tcPr>
            <w:tcW w:w="3473" w:type="dxa"/>
            <w:tcBorders>
              <w:top w:val="single" w:sz="4" w:space="0" w:color="538DD3"/>
              <w:left w:val="single" w:sz="4" w:space="0" w:color="538DD3"/>
              <w:bottom w:val="single" w:sz="4" w:space="0" w:color="538DD3"/>
              <w:right w:val="single" w:sz="4" w:space="0" w:color="538DD3"/>
            </w:tcBorders>
          </w:tcPr>
          <w:p w:rsidR="00A607C6" w:rsidRDefault="00870462">
            <w:pPr>
              <w:spacing w:after="0" w:line="259" w:lineRule="auto"/>
              <w:ind w:left="1" w:right="0" w:firstLine="0"/>
              <w:jc w:val="left"/>
            </w:pPr>
            <w:r>
              <w:rPr>
                <w:color w:val="404040"/>
              </w:rPr>
              <w:t xml:space="preserve">Page 13 </w:t>
            </w:r>
          </w:p>
        </w:tc>
      </w:tr>
      <w:tr w:rsidR="00A607C6">
        <w:trPr>
          <w:trHeight w:val="329"/>
        </w:trPr>
        <w:tc>
          <w:tcPr>
            <w:tcW w:w="533" w:type="dxa"/>
            <w:vMerge/>
            <w:tcBorders>
              <w:top w:val="nil"/>
              <w:left w:val="single" w:sz="4" w:space="0" w:color="538DD3"/>
              <w:bottom w:val="nil"/>
              <w:right w:val="single" w:sz="4" w:space="0" w:color="538DD3"/>
            </w:tcBorders>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tcPr>
          <w:p w:rsidR="00A607C6" w:rsidRDefault="00A607C6">
            <w:pPr>
              <w:spacing w:after="0" w:line="259" w:lineRule="auto"/>
              <w:ind w:left="361" w:right="0" w:firstLine="0"/>
              <w:jc w:val="left"/>
            </w:pPr>
          </w:p>
        </w:tc>
        <w:tc>
          <w:tcPr>
            <w:tcW w:w="3473" w:type="dxa"/>
            <w:tcBorders>
              <w:top w:val="single" w:sz="4" w:space="0" w:color="538DD3"/>
              <w:left w:val="single" w:sz="4" w:space="0" w:color="538DD3"/>
              <w:bottom w:val="single" w:sz="4" w:space="0" w:color="538DD3"/>
              <w:right w:val="single" w:sz="4" w:space="0" w:color="538DD3"/>
            </w:tcBorders>
          </w:tcPr>
          <w:p w:rsidR="00A607C6" w:rsidRDefault="00A607C6">
            <w:pPr>
              <w:spacing w:after="0" w:line="259" w:lineRule="auto"/>
              <w:ind w:left="3" w:right="0" w:firstLine="0"/>
              <w:jc w:val="left"/>
            </w:pPr>
          </w:p>
        </w:tc>
      </w:tr>
      <w:tr w:rsidR="00A607C6">
        <w:trPr>
          <w:trHeight w:val="328"/>
        </w:trPr>
        <w:tc>
          <w:tcPr>
            <w:tcW w:w="533" w:type="dxa"/>
            <w:vMerge/>
            <w:tcBorders>
              <w:top w:val="nil"/>
              <w:left w:val="single" w:sz="4" w:space="0" w:color="538DD3"/>
              <w:bottom w:val="single" w:sz="4" w:space="0" w:color="538DD3"/>
              <w:right w:val="single" w:sz="4" w:space="0" w:color="538DD3"/>
            </w:tcBorders>
          </w:tcPr>
          <w:p w:rsidR="00A607C6" w:rsidRDefault="00A607C6">
            <w:pPr>
              <w:spacing w:after="160" w:line="259" w:lineRule="auto"/>
              <w:ind w:left="0" w:right="0" w:firstLine="0"/>
              <w:jc w:val="left"/>
            </w:pPr>
          </w:p>
        </w:tc>
        <w:tc>
          <w:tcPr>
            <w:tcW w:w="6414" w:type="dxa"/>
            <w:tcBorders>
              <w:top w:val="single" w:sz="4" w:space="0" w:color="538DD3"/>
              <w:left w:val="single" w:sz="4" w:space="0" w:color="538DD3"/>
              <w:bottom w:val="single" w:sz="4" w:space="0" w:color="538DD3"/>
              <w:right w:val="single" w:sz="4" w:space="0" w:color="538DD3"/>
            </w:tcBorders>
          </w:tcPr>
          <w:p w:rsidR="00A607C6" w:rsidRDefault="00A607C6">
            <w:pPr>
              <w:spacing w:after="0" w:line="259" w:lineRule="auto"/>
              <w:ind w:left="361" w:right="0" w:firstLine="0"/>
              <w:jc w:val="left"/>
            </w:pPr>
          </w:p>
        </w:tc>
        <w:tc>
          <w:tcPr>
            <w:tcW w:w="3473" w:type="dxa"/>
            <w:tcBorders>
              <w:top w:val="single" w:sz="4" w:space="0" w:color="538DD3"/>
              <w:left w:val="single" w:sz="4" w:space="0" w:color="538DD3"/>
              <w:bottom w:val="single" w:sz="4" w:space="0" w:color="538DD3"/>
              <w:right w:val="single" w:sz="4" w:space="0" w:color="538DD3"/>
            </w:tcBorders>
          </w:tcPr>
          <w:p w:rsidR="00A607C6" w:rsidRDefault="00A607C6">
            <w:pPr>
              <w:spacing w:after="0" w:line="259" w:lineRule="auto"/>
              <w:ind w:left="3" w:right="0" w:firstLine="0"/>
              <w:jc w:val="left"/>
            </w:pPr>
          </w:p>
        </w:tc>
      </w:tr>
    </w:tbl>
    <w:p w:rsidR="00A607C6" w:rsidRDefault="00A607C6">
      <w:pPr>
        <w:spacing w:after="0" w:line="259" w:lineRule="auto"/>
        <w:ind w:left="0" w:right="0" w:firstLine="0"/>
        <w:jc w:val="left"/>
      </w:pPr>
    </w:p>
    <w:p w:rsidR="00A607C6" w:rsidRDefault="00A607C6">
      <w:pPr>
        <w:pStyle w:val="Heading1"/>
        <w:numPr>
          <w:ilvl w:val="0"/>
          <w:numId w:val="0"/>
        </w:numPr>
        <w:ind w:left="61" w:right="0"/>
      </w:pPr>
    </w:p>
    <w:p w:rsidR="00A607C6" w:rsidRDefault="00870462">
      <w:pPr>
        <w:spacing w:after="0" w:line="259" w:lineRule="auto"/>
        <w:ind w:left="0" w:right="0" w:firstLine="0"/>
        <w:jc w:val="left"/>
      </w:pPr>
      <w:r>
        <w:t xml:space="preserve"> </w:t>
      </w:r>
    </w:p>
    <w:p w:rsidR="00A607C6" w:rsidRDefault="00A607C6">
      <w:pPr>
        <w:spacing w:after="0" w:line="259" w:lineRule="auto"/>
        <w:ind w:left="0" w:right="0" w:firstLine="0"/>
        <w:jc w:val="left"/>
      </w:pPr>
    </w:p>
    <w:p w:rsidR="00A607C6" w:rsidRDefault="00A607C6">
      <w:pPr>
        <w:spacing w:after="0" w:line="259" w:lineRule="auto"/>
        <w:ind w:left="0" w:right="0" w:firstLine="0"/>
        <w:jc w:val="left"/>
      </w:pPr>
    </w:p>
    <w:p w:rsidR="00A607C6" w:rsidRDefault="00870462">
      <w:pPr>
        <w:spacing w:after="0" w:line="259" w:lineRule="auto"/>
        <w:ind w:left="0" w:right="0" w:firstLine="0"/>
        <w:jc w:val="left"/>
      </w:pPr>
      <w:r>
        <w:t xml:space="preserve"> </w:t>
      </w:r>
      <w:r>
        <w:tab/>
        <w:t xml:space="preserve"> </w:t>
      </w:r>
    </w:p>
    <w:p w:rsidR="00A607C6" w:rsidRDefault="00870462">
      <w:pPr>
        <w:pStyle w:val="Heading1"/>
        <w:ind w:left="411" w:right="0" w:hanging="360"/>
      </w:pPr>
      <w:r>
        <w:t xml:space="preserve">Quality control of assessment  </w:t>
      </w:r>
    </w:p>
    <w:p w:rsidR="00A607C6" w:rsidRDefault="00870462">
      <w:pPr>
        <w:spacing w:after="98" w:line="259" w:lineRule="auto"/>
        <w:ind w:left="0" w:right="0" w:firstLine="0"/>
        <w:jc w:val="left"/>
      </w:pPr>
      <w:r>
        <w:rPr>
          <w:rFonts w:ascii="Times New Roman" w:eastAsia="Times New Roman" w:hAnsi="Times New Roman" w:cs="Times New Roman"/>
          <w:sz w:val="16"/>
        </w:rPr>
        <w:t xml:space="preserve"> </w:t>
      </w:r>
    </w:p>
    <w:p w:rsidR="00A607C6" w:rsidRDefault="00870462">
      <w:pPr>
        <w:spacing w:after="0"/>
        <w:ind w:left="-5" w:right="0"/>
      </w:pPr>
      <w:r>
        <w:t>The monitoring and standardisation of assessment decisions must be achieved through robust assessment, internal and external quality assurance systems. These must be reliable, transparent and fit for purpose and must comply with the requirements of the qualification regulator</w:t>
      </w:r>
      <w:r w:rsidR="00D33EDB">
        <w:t xml:space="preserve"> (SQA Accreditation)</w:t>
      </w:r>
      <w:r>
        <w:t xml:space="preserve">.  </w:t>
      </w:r>
    </w:p>
    <w:p w:rsidR="00A607C6" w:rsidRDefault="00870462">
      <w:pPr>
        <w:spacing w:after="0" w:line="259" w:lineRule="auto"/>
        <w:ind w:left="0" w:right="0" w:firstLine="0"/>
        <w:jc w:val="left"/>
      </w:pPr>
      <w:r>
        <w:t xml:space="preserve"> </w:t>
      </w:r>
    </w:p>
    <w:p w:rsidR="00A607C6" w:rsidRDefault="00870462">
      <w:pPr>
        <w:pStyle w:val="Heading2"/>
        <w:ind w:left="392" w:hanging="407"/>
      </w:pPr>
      <w:r>
        <w:t xml:space="preserve">Internal Verification </w:t>
      </w:r>
    </w:p>
    <w:p w:rsidR="00A607C6" w:rsidRDefault="00870462">
      <w:pPr>
        <w:spacing w:after="0" w:line="259" w:lineRule="auto"/>
        <w:ind w:left="0" w:right="0" w:firstLine="0"/>
        <w:jc w:val="left"/>
      </w:pPr>
      <w:r>
        <w:t xml:space="preserve"> </w:t>
      </w:r>
    </w:p>
    <w:p w:rsidR="00A607C6" w:rsidRDefault="00870462">
      <w:pPr>
        <w:spacing w:after="0"/>
        <w:ind w:left="-5" w:right="0"/>
      </w:pPr>
      <w:r>
        <w:t xml:space="preserve">Centres must have an effective internal verification strategy and processes in place to ensure learners are assessed fairly and consistently, and that standards are being met. </w:t>
      </w:r>
    </w:p>
    <w:p w:rsidR="00A607C6" w:rsidRDefault="00870462">
      <w:pPr>
        <w:spacing w:after="0" w:line="259" w:lineRule="auto"/>
        <w:ind w:left="0" w:right="0" w:firstLine="0"/>
        <w:jc w:val="left"/>
      </w:pPr>
      <w:r>
        <w:t xml:space="preserve"> </w:t>
      </w:r>
    </w:p>
    <w:p w:rsidR="00A607C6" w:rsidRDefault="00870462">
      <w:pPr>
        <w:spacing w:after="0"/>
        <w:ind w:left="-5" w:right="0"/>
      </w:pPr>
      <w:r>
        <w:t xml:space="preserve">To ensure all assessment activities are valid and effective, and that Assessors decisions are accurate, a Centre’s internal verification process should:  </w:t>
      </w:r>
    </w:p>
    <w:p w:rsidR="00A607C6" w:rsidRDefault="00870462">
      <w:pPr>
        <w:spacing w:after="15" w:line="259" w:lineRule="auto"/>
        <w:ind w:left="0" w:right="0" w:firstLine="0"/>
        <w:jc w:val="left"/>
      </w:pPr>
      <w:r>
        <w:t xml:space="preserve"> </w:t>
      </w:r>
    </w:p>
    <w:p w:rsidR="00A607C6" w:rsidRDefault="00870462">
      <w:pPr>
        <w:numPr>
          <w:ilvl w:val="0"/>
          <w:numId w:val="3"/>
        </w:numPr>
        <w:ind w:right="0" w:hanging="360"/>
      </w:pPr>
      <w:r>
        <w:t xml:space="preserve">Identify effective Internal Verifiers who are responsible for implementing these processes. </w:t>
      </w:r>
    </w:p>
    <w:p w:rsidR="00A607C6" w:rsidRDefault="00870462">
      <w:pPr>
        <w:ind w:left="730" w:right="0"/>
      </w:pPr>
      <w:r>
        <w:t>If necessary</w:t>
      </w:r>
      <w:r w:rsidR="0076746D">
        <w:t>,</w:t>
      </w:r>
      <w:r>
        <w:t xml:space="preserve"> identify a coordinating Internal Verifier who manages the process  </w:t>
      </w:r>
    </w:p>
    <w:p w:rsidR="00A607C6" w:rsidRDefault="00870462">
      <w:pPr>
        <w:numPr>
          <w:ilvl w:val="0"/>
          <w:numId w:val="3"/>
        </w:numPr>
        <w:ind w:right="0" w:hanging="360"/>
      </w:pPr>
      <w:r>
        <w:t xml:space="preserve">Produce an effective internal verification policy </w:t>
      </w:r>
    </w:p>
    <w:p w:rsidR="00A607C6" w:rsidRDefault="00870462">
      <w:pPr>
        <w:numPr>
          <w:ilvl w:val="0"/>
          <w:numId w:val="3"/>
        </w:numPr>
        <w:ind w:right="0" w:hanging="360"/>
      </w:pPr>
      <w:r>
        <w:t xml:space="preserve">Produce and maintain a clear audit trail of decision making and action </w:t>
      </w:r>
    </w:p>
    <w:p w:rsidR="00A607C6" w:rsidRDefault="00870462">
      <w:pPr>
        <w:pStyle w:val="ListParagraph"/>
        <w:numPr>
          <w:ilvl w:val="0"/>
          <w:numId w:val="4"/>
        </w:numPr>
        <w:ind w:right="0"/>
      </w:pPr>
      <w:r>
        <w:t>Produce an internal verification schedule of assessment activities and assessment decisions</w:t>
      </w:r>
    </w:p>
    <w:p w:rsidR="00A607C6" w:rsidRDefault="00870462">
      <w:pPr>
        <w:pStyle w:val="ListParagraph"/>
        <w:numPr>
          <w:ilvl w:val="0"/>
          <w:numId w:val="4"/>
        </w:numPr>
        <w:ind w:right="0"/>
      </w:pPr>
      <w:r>
        <w:t>Produce a training and standardisation plan for all those involved in internal verification</w:t>
      </w:r>
    </w:p>
    <w:p w:rsidR="00A607C6" w:rsidRDefault="00A607C6">
      <w:pPr>
        <w:spacing w:after="0" w:line="259" w:lineRule="auto"/>
        <w:ind w:left="0" w:right="0" w:firstLine="0"/>
        <w:jc w:val="left"/>
      </w:pPr>
    </w:p>
    <w:p w:rsidR="00A607C6" w:rsidRDefault="00870462">
      <w:pPr>
        <w:spacing w:after="0"/>
        <w:ind w:left="-5" w:right="0"/>
      </w:pPr>
      <w:r>
        <w:t xml:space="preserve">Internal Verifiers should observe Assessors performing learner assessments at regular intervals according to awarding body guidelines, risk rating and experience of the Assessor. The reliability, validity and authenticity of evidence must be checked during these observations.  </w:t>
      </w:r>
    </w:p>
    <w:p w:rsidR="00A607C6" w:rsidRDefault="00870462">
      <w:pPr>
        <w:spacing w:after="0" w:line="259" w:lineRule="auto"/>
        <w:ind w:left="0" w:right="0" w:firstLine="0"/>
        <w:jc w:val="left"/>
      </w:pPr>
      <w:r>
        <w:t xml:space="preserve"> </w:t>
      </w:r>
    </w:p>
    <w:p w:rsidR="00A607C6" w:rsidRDefault="00870462">
      <w:pPr>
        <w:spacing w:after="0"/>
        <w:ind w:left="-5" w:right="0"/>
      </w:pPr>
      <w:r>
        <w:t xml:space="preserve">An Internal Verifier cannot internally verify either assessment activities they have produced or assessment decisions they have made. </w:t>
      </w:r>
    </w:p>
    <w:p w:rsidR="00A607C6" w:rsidRDefault="00870462">
      <w:pPr>
        <w:spacing w:after="0" w:line="259" w:lineRule="auto"/>
        <w:ind w:left="0" w:right="0" w:firstLine="0"/>
        <w:jc w:val="left"/>
      </w:pPr>
      <w:r>
        <w:t xml:space="preserve"> </w:t>
      </w:r>
    </w:p>
    <w:p w:rsidR="00A607C6" w:rsidRDefault="00870462">
      <w:pPr>
        <w:pStyle w:val="Heading2"/>
        <w:ind w:left="392" w:hanging="407"/>
      </w:pPr>
      <w:r>
        <w:t>External Quality Control</w:t>
      </w:r>
    </w:p>
    <w:p w:rsidR="00A607C6" w:rsidRDefault="00870462">
      <w:pPr>
        <w:spacing w:after="0" w:line="259" w:lineRule="auto"/>
        <w:ind w:left="0" w:right="0" w:firstLine="0"/>
        <w:jc w:val="left"/>
      </w:pPr>
      <w:r>
        <w:t xml:space="preserve"> </w:t>
      </w:r>
    </w:p>
    <w:p w:rsidR="00A607C6" w:rsidRDefault="00870462">
      <w:pPr>
        <w:spacing w:after="0"/>
        <w:ind w:left="-5" w:right="0"/>
      </w:pPr>
      <w:r>
        <w:t>To ensure successful monitoring and standardisation of the assessment activities made by a Centre, the assessment decisions made by an Assessor, and the Centre’s internal verification processes, an awarding body must have in place a robust external verification system with clear and effective arrangements to maintain consistency in quality.  The mechanisms required to achieve this are outlined by the qualification regulator</w:t>
      </w:r>
      <w:r w:rsidR="00D33EDB">
        <w:t xml:space="preserve"> (SQA Accreditation)</w:t>
      </w:r>
      <w:r>
        <w:t xml:space="preserve">. </w:t>
      </w:r>
    </w:p>
    <w:p w:rsidR="00A607C6" w:rsidRDefault="00870462">
      <w:pPr>
        <w:spacing w:after="0" w:line="259" w:lineRule="auto"/>
        <w:ind w:left="0" w:right="0" w:firstLine="0"/>
        <w:jc w:val="left"/>
      </w:pPr>
      <w:r>
        <w:t xml:space="preserve"> </w:t>
      </w:r>
    </w:p>
    <w:p w:rsidR="00A607C6" w:rsidRDefault="00870462">
      <w:pPr>
        <w:spacing w:after="0"/>
        <w:ind w:left="-5" w:right="0"/>
      </w:pPr>
      <w:r>
        <w:lastRenderedPageBreak/>
        <w:t>In addition to the qualification</w:t>
      </w:r>
      <w:r w:rsidR="0076746D">
        <w:t xml:space="preserve"> </w:t>
      </w:r>
      <w:r>
        <w:t>regulator</w:t>
      </w:r>
      <w:r w:rsidR="0076746D">
        <w:t>’s</w:t>
      </w:r>
      <w:r>
        <w:t xml:space="preserve"> requirements, all external quality assurance reports and other data relating to a Centre must be reviewed by the awarding body. Where any risks are identified relating to the quality control of assessment the awarding body must have in place an effective risk management and rating system. This will determine, depending on a Centre’s level for risk, the appropriate external quality assurance, monitoring, support and control that should be put in place. </w:t>
      </w:r>
    </w:p>
    <w:p w:rsidR="00A607C6" w:rsidRDefault="00870462">
      <w:pPr>
        <w:spacing w:after="34" w:line="259" w:lineRule="auto"/>
        <w:ind w:left="0" w:right="0" w:firstLine="0"/>
        <w:jc w:val="left"/>
      </w:pPr>
      <w:r>
        <w:rPr>
          <w:rFonts w:ascii="Arial" w:eastAsia="Arial" w:hAnsi="Arial" w:cs="Arial"/>
          <w:sz w:val="22"/>
        </w:rPr>
        <w:t xml:space="preserve"> </w:t>
      </w:r>
    </w:p>
    <w:p w:rsidR="00A607C6" w:rsidRDefault="00870462">
      <w:pPr>
        <w:pStyle w:val="Heading2"/>
        <w:ind w:left="392" w:hanging="407"/>
      </w:pPr>
      <w:r>
        <w:t xml:space="preserve">Risk Assessment </w:t>
      </w:r>
    </w:p>
    <w:p w:rsidR="00A607C6" w:rsidRDefault="00870462">
      <w:pPr>
        <w:spacing w:after="0" w:line="259" w:lineRule="auto"/>
        <w:ind w:left="0" w:right="0" w:firstLine="0"/>
        <w:jc w:val="left"/>
      </w:pPr>
      <w:r>
        <w:t xml:space="preserve"> </w:t>
      </w:r>
    </w:p>
    <w:p w:rsidR="00A607C6" w:rsidRDefault="00870462">
      <w:pPr>
        <w:ind w:left="-5" w:right="0"/>
      </w:pPr>
      <w:r>
        <w:t xml:space="preserve">All awarding bodies are required to implement effective risk management and rating systems to help protect the integrity of the qualification, safeguard assessment and verification processes and ensure standards are maintained. These systems should also focus on: </w:t>
      </w:r>
    </w:p>
    <w:p w:rsidR="00A607C6" w:rsidRDefault="00870462">
      <w:pPr>
        <w:numPr>
          <w:ilvl w:val="0"/>
          <w:numId w:val="5"/>
        </w:numPr>
        <w:ind w:right="0" w:hanging="360"/>
      </w:pPr>
      <w:r>
        <w:t xml:space="preserve">Conflict of interest </w:t>
      </w:r>
    </w:p>
    <w:p w:rsidR="00A607C6" w:rsidRDefault="00870462">
      <w:pPr>
        <w:spacing w:after="0"/>
        <w:ind w:left="730" w:right="0"/>
      </w:pPr>
      <w:r>
        <w:t xml:space="preserve">Any personal or professional relationship between learners, Assessors, Internal Verifiers and External Verifiers should be declared. </w:t>
      </w:r>
    </w:p>
    <w:p w:rsidR="00A607C6" w:rsidRDefault="00870462">
      <w:pPr>
        <w:spacing w:after="15" w:line="259" w:lineRule="auto"/>
        <w:ind w:left="720" w:right="0" w:firstLine="0"/>
        <w:jc w:val="left"/>
      </w:pPr>
      <w:r>
        <w:t xml:space="preserve"> </w:t>
      </w:r>
    </w:p>
    <w:p w:rsidR="00A607C6" w:rsidRDefault="00870462">
      <w:pPr>
        <w:numPr>
          <w:ilvl w:val="0"/>
          <w:numId w:val="5"/>
        </w:numPr>
        <w:ind w:right="0" w:hanging="360"/>
      </w:pPr>
      <w:r>
        <w:t xml:space="preserve">Adherence to Centre approval criteria </w:t>
      </w:r>
    </w:p>
    <w:p w:rsidR="00A607C6" w:rsidRDefault="00870462">
      <w:pPr>
        <w:spacing w:after="0"/>
        <w:ind w:left="730" w:right="0"/>
      </w:pPr>
      <w:r>
        <w:t xml:space="preserve">Centres should be continually monitored in addition to its delivery to ensure that the integrity of the qualification is maintained. </w:t>
      </w:r>
    </w:p>
    <w:p w:rsidR="00A607C6" w:rsidRDefault="00870462">
      <w:pPr>
        <w:spacing w:after="0" w:line="259" w:lineRule="auto"/>
        <w:ind w:left="0" w:right="0" w:firstLine="0"/>
        <w:jc w:val="left"/>
      </w:pPr>
      <w:r>
        <w:t xml:space="preserve"> </w:t>
      </w:r>
    </w:p>
    <w:p w:rsidR="00A607C6" w:rsidRDefault="00870462">
      <w:pPr>
        <w:spacing w:after="0"/>
        <w:ind w:left="-5" w:right="0"/>
      </w:pPr>
      <w:r>
        <w:t xml:space="preserve">Where risk is identified through these systems, awarding bodies will need to act accordingly to ensure the Centre is performing to an acceptable level. This may include, but is not limited to:  </w:t>
      </w:r>
    </w:p>
    <w:p w:rsidR="00A607C6" w:rsidRDefault="00870462">
      <w:pPr>
        <w:spacing w:after="14" w:line="259" w:lineRule="auto"/>
        <w:ind w:left="0" w:right="0" w:firstLine="0"/>
        <w:jc w:val="left"/>
      </w:pPr>
      <w:r>
        <w:t xml:space="preserve"> </w:t>
      </w:r>
    </w:p>
    <w:p w:rsidR="00A607C6" w:rsidRDefault="00870462">
      <w:pPr>
        <w:numPr>
          <w:ilvl w:val="0"/>
          <w:numId w:val="5"/>
        </w:numPr>
        <w:ind w:right="0" w:hanging="360"/>
      </w:pPr>
      <w:r>
        <w:t xml:space="preserve">Inspection/spot visit(s)  </w:t>
      </w:r>
    </w:p>
    <w:p w:rsidR="00A607C6" w:rsidRDefault="00870462">
      <w:pPr>
        <w:numPr>
          <w:ilvl w:val="0"/>
          <w:numId w:val="5"/>
        </w:numPr>
        <w:ind w:right="0" w:hanging="360"/>
      </w:pPr>
      <w:r>
        <w:t xml:space="preserve">Additional monitoring of assessment activities and/or internal verification processes </w:t>
      </w:r>
    </w:p>
    <w:p w:rsidR="00A607C6" w:rsidRDefault="00870462">
      <w:pPr>
        <w:numPr>
          <w:ilvl w:val="0"/>
          <w:numId w:val="5"/>
        </w:numPr>
        <w:ind w:right="0" w:hanging="360"/>
      </w:pPr>
      <w:r>
        <w:t xml:space="preserve">Verifying a sample of learners work from each Assessor over an agreed </w:t>
      </w:r>
      <w:proofErr w:type="gramStart"/>
      <w:r>
        <w:t>period of time</w:t>
      </w:r>
      <w:proofErr w:type="gramEnd"/>
      <w:r>
        <w:t xml:space="preserve">  </w:t>
      </w:r>
    </w:p>
    <w:p w:rsidR="00A607C6" w:rsidRDefault="00870462">
      <w:pPr>
        <w:numPr>
          <w:ilvl w:val="0"/>
          <w:numId w:val="5"/>
        </w:numPr>
        <w:ind w:right="0" w:hanging="360"/>
        <w:rPr>
          <w:strike/>
        </w:rPr>
      </w:pPr>
      <w:r>
        <w:t xml:space="preserve">Appointment of Independent Verifiers  </w:t>
      </w:r>
    </w:p>
    <w:p w:rsidR="00A607C6" w:rsidRDefault="00870462">
      <w:pPr>
        <w:numPr>
          <w:ilvl w:val="0"/>
          <w:numId w:val="5"/>
        </w:numPr>
        <w:ind w:right="0" w:hanging="360"/>
      </w:pPr>
      <w:r>
        <w:t xml:space="preserve">Or other action appropriate to the risk. </w:t>
      </w:r>
    </w:p>
    <w:p w:rsidR="00A607C6" w:rsidRDefault="00870462">
      <w:pPr>
        <w:spacing w:after="0" w:line="259" w:lineRule="auto"/>
        <w:ind w:left="0" w:right="0" w:firstLine="0"/>
        <w:jc w:val="left"/>
      </w:pPr>
      <w:r>
        <w:t xml:space="preserve"> </w:t>
      </w:r>
    </w:p>
    <w:p w:rsidR="00A607C6" w:rsidRDefault="00870462">
      <w:pPr>
        <w:ind w:left="-5" w:right="0"/>
      </w:pPr>
      <w:r>
        <w:t xml:space="preserve">Awarding bodies should be able to demonstrate a risk assessment has been carried out for each Centre and a strategy to minimise any risk identified has been implemented. </w:t>
      </w:r>
    </w:p>
    <w:p w:rsidR="00A607C6" w:rsidRDefault="00870462">
      <w:pPr>
        <w:spacing w:after="0" w:line="259" w:lineRule="auto"/>
        <w:ind w:left="0" w:right="0" w:firstLine="0"/>
        <w:jc w:val="left"/>
      </w:pPr>
      <w:r>
        <w:rPr>
          <w:b/>
          <w:sz w:val="28"/>
        </w:rPr>
        <w:t xml:space="preserve"> </w:t>
      </w:r>
    </w:p>
    <w:p w:rsidR="00A607C6" w:rsidRDefault="00870462">
      <w:pPr>
        <w:spacing w:after="0" w:line="259" w:lineRule="auto"/>
        <w:ind w:left="0" w:right="0" w:firstLine="0"/>
        <w:jc w:val="left"/>
      </w:pPr>
      <w:r>
        <w:rPr>
          <w:b/>
          <w:sz w:val="28"/>
        </w:rPr>
        <w:t xml:space="preserve"> </w:t>
      </w:r>
    </w:p>
    <w:p w:rsidR="00A607C6" w:rsidRDefault="00870462">
      <w:pPr>
        <w:spacing w:after="0" w:line="259" w:lineRule="auto"/>
        <w:ind w:left="0" w:right="0" w:firstLine="0"/>
        <w:jc w:val="left"/>
      </w:pPr>
      <w:r>
        <w:rPr>
          <w:b/>
          <w:sz w:val="28"/>
        </w:rPr>
        <w:t xml:space="preserve"> </w:t>
      </w:r>
    </w:p>
    <w:p w:rsidR="00A607C6" w:rsidRDefault="00870462">
      <w:pPr>
        <w:spacing w:after="0" w:line="259" w:lineRule="auto"/>
        <w:ind w:left="0" w:right="0" w:firstLine="0"/>
        <w:jc w:val="left"/>
      </w:pPr>
      <w:r>
        <w:rPr>
          <w:b/>
          <w:sz w:val="28"/>
        </w:rPr>
        <w:t xml:space="preserve"> </w:t>
      </w:r>
    </w:p>
    <w:p w:rsidR="00A607C6" w:rsidRDefault="00870462">
      <w:pPr>
        <w:spacing w:after="0" w:line="259" w:lineRule="auto"/>
        <w:ind w:left="0" w:right="0" w:firstLine="0"/>
        <w:jc w:val="left"/>
      </w:pPr>
      <w:r>
        <w:rPr>
          <w:b/>
          <w:sz w:val="28"/>
        </w:rPr>
        <w:t xml:space="preserve"> </w:t>
      </w:r>
    </w:p>
    <w:p w:rsidR="00A607C6" w:rsidRDefault="00870462">
      <w:pPr>
        <w:spacing w:after="0" w:line="259" w:lineRule="auto"/>
        <w:ind w:left="0" w:right="0" w:firstLine="0"/>
        <w:jc w:val="left"/>
      </w:pPr>
      <w:r>
        <w:rPr>
          <w:b/>
          <w:sz w:val="28"/>
        </w:rPr>
        <w:t xml:space="preserve"> </w:t>
      </w:r>
    </w:p>
    <w:p w:rsidR="00A607C6" w:rsidRDefault="00870462">
      <w:pPr>
        <w:spacing w:after="0" w:line="259" w:lineRule="auto"/>
        <w:ind w:left="0" w:right="0" w:firstLine="0"/>
        <w:jc w:val="left"/>
      </w:pPr>
      <w:r>
        <w:rPr>
          <w:b/>
          <w:sz w:val="28"/>
        </w:rPr>
        <w:t xml:space="preserve"> </w:t>
      </w:r>
    </w:p>
    <w:p w:rsidR="00A607C6" w:rsidRDefault="00870462">
      <w:pPr>
        <w:spacing w:after="0" w:line="259" w:lineRule="auto"/>
        <w:ind w:left="0" w:right="0" w:firstLine="0"/>
        <w:jc w:val="left"/>
      </w:pPr>
      <w:r>
        <w:rPr>
          <w:b/>
          <w:sz w:val="28"/>
        </w:rPr>
        <w:t xml:space="preserve"> </w:t>
      </w:r>
    </w:p>
    <w:p w:rsidR="00A607C6" w:rsidRDefault="00870462">
      <w:pPr>
        <w:spacing w:after="0" w:line="259" w:lineRule="auto"/>
        <w:ind w:left="0" w:right="0" w:firstLine="0"/>
        <w:jc w:val="left"/>
      </w:pPr>
      <w:r>
        <w:rPr>
          <w:b/>
          <w:sz w:val="28"/>
        </w:rPr>
        <w:lastRenderedPageBreak/>
        <w:t xml:space="preserve"> </w:t>
      </w:r>
    </w:p>
    <w:p w:rsidR="00A607C6" w:rsidRDefault="00870462">
      <w:pPr>
        <w:spacing w:after="0" w:line="259" w:lineRule="auto"/>
        <w:ind w:left="0" w:right="0" w:firstLine="0"/>
        <w:jc w:val="left"/>
      </w:pPr>
      <w:r>
        <w:rPr>
          <w:b/>
          <w:sz w:val="28"/>
        </w:rPr>
        <w:t xml:space="preserve"> </w:t>
      </w:r>
    </w:p>
    <w:p w:rsidR="00A607C6" w:rsidRDefault="00870462">
      <w:pPr>
        <w:spacing w:after="0" w:line="259" w:lineRule="auto"/>
        <w:ind w:left="0" w:right="0" w:firstLine="0"/>
        <w:jc w:val="left"/>
      </w:pPr>
      <w:r>
        <w:rPr>
          <w:b/>
          <w:sz w:val="28"/>
        </w:rPr>
        <w:t xml:space="preserve"> </w:t>
      </w:r>
      <w:r>
        <w:rPr>
          <w:b/>
          <w:sz w:val="28"/>
        </w:rPr>
        <w:tab/>
        <w:t xml:space="preserve"> </w:t>
      </w:r>
    </w:p>
    <w:p w:rsidR="00A607C6" w:rsidRDefault="00870462">
      <w:pPr>
        <w:pStyle w:val="Heading1"/>
        <w:spacing w:after="0" w:line="240" w:lineRule="auto"/>
        <w:ind w:left="411" w:right="0" w:hanging="360"/>
      </w:pPr>
      <w:r>
        <w:t xml:space="preserve">Workplace assessment  </w:t>
      </w:r>
    </w:p>
    <w:p w:rsidR="00A607C6" w:rsidRDefault="00870462">
      <w:pPr>
        <w:spacing w:after="0" w:line="240" w:lineRule="auto"/>
        <w:ind w:left="0" w:right="0" w:firstLine="0"/>
        <w:jc w:val="left"/>
      </w:pPr>
      <w:r>
        <w:rPr>
          <w:color w:val="FF0000"/>
        </w:rPr>
        <w:t xml:space="preserve"> </w:t>
      </w:r>
    </w:p>
    <w:p w:rsidR="00A607C6" w:rsidRDefault="00870462">
      <w:pPr>
        <w:spacing w:after="0" w:line="240" w:lineRule="auto"/>
        <w:ind w:left="-5" w:right="0"/>
      </w:pPr>
      <w:r>
        <w:t xml:space="preserve">Learners are expected to demonstrate competence to the standards required over </w:t>
      </w:r>
      <w:proofErr w:type="gramStart"/>
      <w:r>
        <w:t>a period</w:t>
      </w:r>
      <w:r w:rsidR="0076746D">
        <w:t xml:space="preserve"> </w:t>
      </w:r>
      <w:r>
        <w:t>of time</w:t>
      </w:r>
      <w:proofErr w:type="gramEnd"/>
      <w:r>
        <w:t xml:space="preserve">. Therefore, to ensure validity, evidence should be naturally occurring and collected through performance in the workplace. ‘Workplace’ in this context means a real environment in which the learner is training for and/or competing at the elite level in their sport. The learner would be defined as Elite by their National Governing Body/Scottish Governing Body.  </w:t>
      </w:r>
    </w:p>
    <w:p w:rsidR="00A607C6" w:rsidRDefault="00A607C6">
      <w:pPr>
        <w:spacing w:after="0" w:line="240" w:lineRule="auto"/>
        <w:ind w:left="-5" w:right="0"/>
      </w:pPr>
    </w:p>
    <w:p w:rsidR="00A607C6" w:rsidRDefault="00870462">
      <w:pPr>
        <w:spacing w:after="0" w:line="240" w:lineRule="auto"/>
        <w:ind w:left="-5" w:right="0"/>
      </w:pPr>
      <w:r>
        <w:t>It is acknowledged not all workplaces are the same, therefore assessment conditions may not be identical. However</w:t>
      </w:r>
      <w:r w:rsidR="0076746D">
        <w:t>,</w:t>
      </w:r>
      <w:r>
        <w:t xml:space="preserve"> to safeguard the integrity of the qualification and ensure a robust and consistent approach to assessment the Assessor must ensure the assessment conditions reflect, as far as possible, those to which the learner is expected to work.  </w:t>
      </w:r>
    </w:p>
    <w:p w:rsidR="00A607C6" w:rsidRDefault="00A607C6">
      <w:pPr>
        <w:spacing w:after="0" w:line="240" w:lineRule="auto"/>
        <w:ind w:left="-5" w:right="0"/>
      </w:pPr>
    </w:p>
    <w:p w:rsidR="00A607C6" w:rsidRDefault="00870462">
      <w:pPr>
        <w:spacing w:after="0" w:line="240" w:lineRule="auto"/>
        <w:ind w:left="-5" w:right="0"/>
      </w:pPr>
      <w:r>
        <w:t xml:space="preserve">It is imperative the learner is not placed under more, or less, pressure than found normally in the workplace during assessment. It could be the case the learner may feel more pressure simply because they are being assessed.  </w:t>
      </w:r>
    </w:p>
    <w:p w:rsidR="00A607C6" w:rsidRDefault="00870462">
      <w:pPr>
        <w:spacing w:after="0" w:line="259" w:lineRule="auto"/>
        <w:ind w:left="0" w:right="0" w:firstLine="0"/>
        <w:jc w:val="left"/>
      </w:pPr>
      <w:r>
        <w:rPr>
          <w:b/>
          <w:sz w:val="28"/>
        </w:rPr>
        <w:t xml:space="preserve"> </w:t>
      </w:r>
    </w:p>
    <w:p w:rsidR="00A607C6" w:rsidRDefault="00870462">
      <w:pPr>
        <w:pStyle w:val="Heading2"/>
        <w:ind w:left="392" w:hanging="407"/>
      </w:pPr>
      <w:r>
        <w:t xml:space="preserve">Simulation </w:t>
      </w:r>
    </w:p>
    <w:p w:rsidR="00A607C6" w:rsidRDefault="00870462">
      <w:pPr>
        <w:spacing w:after="0" w:line="259" w:lineRule="auto"/>
        <w:ind w:left="0" w:right="0" w:firstLine="0"/>
        <w:jc w:val="left"/>
      </w:pPr>
      <w:r>
        <w:rPr>
          <w:b/>
        </w:rPr>
        <w:t xml:space="preserve"> </w:t>
      </w:r>
    </w:p>
    <w:p w:rsidR="00A607C6" w:rsidRDefault="00870462">
      <w:pPr>
        <w:spacing w:after="0" w:line="240" w:lineRule="auto"/>
        <w:ind w:left="-5" w:right="0"/>
      </w:pPr>
      <w:r>
        <w:t xml:space="preserve">Learners should be assessed through performance in the workplace. Only in circumstances where it is difficult to collect evidence through a real work environment situation, and is deemed acceptable in specific unit guidance, may simulation be permitted.  </w:t>
      </w:r>
    </w:p>
    <w:p w:rsidR="00A607C6" w:rsidRDefault="00A607C6">
      <w:pPr>
        <w:spacing w:after="0" w:line="240" w:lineRule="auto"/>
        <w:ind w:left="-5" w:right="0"/>
      </w:pPr>
    </w:p>
    <w:p w:rsidR="00A607C6" w:rsidRDefault="00870462">
      <w:pPr>
        <w:spacing w:after="0" w:line="240" w:lineRule="auto"/>
        <w:ind w:left="-5" w:right="0"/>
      </w:pPr>
      <w:r>
        <w:t xml:space="preserve">Simulation, the imitation of a </w:t>
      </w:r>
      <w:proofErr w:type="gramStart"/>
      <w:r>
        <w:t>real</w:t>
      </w:r>
      <w:r w:rsidR="00BB0361">
        <w:t xml:space="preserve"> </w:t>
      </w:r>
      <w:r>
        <w:t>life</w:t>
      </w:r>
      <w:proofErr w:type="gramEnd"/>
      <w:r>
        <w:t xml:space="preserve"> activity or situation, should only be undertaken:  </w:t>
      </w:r>
    </w:p>
    <w:p w:rsidR="00A607C6" w:rsidRDefault="00870462">
      <w:pPr>
        <w:spacing w:after="14" w:line="259" w:lineRule="auto"/>
        <w:ind w:left="0" w:right="0" w:firstLine="0"/>
        <w:jc w:val="left"/>
      </w:pPr>
      <w:r>
        <w:t xml:space="preserve"> </w:t>
      </w:r>
    </w:p>
    <w:p w:rsidR="00A607C6" w:rsidRDefault="00870462">
      <w:pPr>
        <w:numPr>
          <w:ilvl w:val="0"/>
          <w:numId w:val="6"/>
        </w:numPr>
        <w:spacing w:after="0"/>
        <w:ind w:right="0" w:hanging="360"/>
        <w:jc w:val="left"/>
      </w:pPr>
      <w:r>
        <w:t xml:space="preserve">Where events either never or infrequently occur and yet a high degree of confidence is needed that the learner would act appropriately, for example: </w:t>
      </w:r>
    </w:p>
    <w:p w:rsidR="00A607C6" w:rsidRDefault="00870462">
      <w:pPr>
        <w:spacing w:after="0"/>
        <w:ind w:left="1450" w:right="0"/>
      </w:pPr>
      <w:r>
        <w:t xml:space="preserve">health and safety activities that fall outside, or are secondary to, normal practices; or </w:t>
      </w:r>
    </w:p>
    <w:p w:rsidR="00A607C6" w:rsidRDefault="00870462">
      <w:pPr>
        <w:spacing w:after="14" w:line="259" w:lineRule="auto"/>
        <w:ind w:left="0" w:right="0" w:firstLine="0"/>
        <w:jc w:val="left"/>
      </w:pPr>
      <w:r>
        <w:t xml:space="preserve"> </w:t>
      </w:r>
    </w:p>
    <w:p w:rsidR="00A607C6" w:rsidRDefault="00870462">
      <w:pPr>
        <w:numPr>
          <w:ilvl w:val="0"/>
          <w:numId w:val="6"/>
        </w:numPr>
        <w:spacing w:after="0" w:line="242" w:lineRule="auto"/>
        <w:ind w:right="0" w:hanging="360"/>
        <w:jc w:val="left"/>
      </w:pPr>
      <w:r>
        <w:t xml:space="preserve">Where events happen frequently but where there is risk of harm to the learner in a real situation, (although evidence from direct observation should be used where possible).  </w:t>
      </w:r>
    </w:p>
    <w:p w:rsidR="00A607C6" w:rsidRDefault="00870462">
      <w:pPr>
        <w:spacing w:after="0" w:line="259" w:lineRule="auto"/>
        <w:ind w:left="0" w:right="0" w:firstLine="0"/>
        <w:jc w:val="left"/>
      </w:pPr>
      <w:r>
        <w:t xml:space="preserve"> </w:t>
      </w:r>
    </w:p>
    <w:p w:rsidR="00A607C6" w:rsidRDefault="00870462">
      <w:pPr>
        <w:spacing w:after="0"/>
        <w:ind w:left="-5" w:right="0"/>
      </w:pPr>
      <w:r>
        <w:t xml:space="preserve">Where permitted, simulation must, as far as reasonably practicable, match conditions of a realistic working environment (RWE). In other words, the conditions should match those found in the workplace, including facilities, equipment, products, as well as relationships, constraints and pressures.  </w:t>
      </w:r>
    </w:p>
    <w:p w:rsidR="00A607C6" w:rsidRDefault="00870462">
      <w:pPr>
        <w:spacing w:after="0" w:line="259" w:lineRule="auto"/>
        <w:ind w:left="0" w:right="0" w:firstLine="0"/>
        <w:jc w:val="left"/>
      </w:pPr>
      <w:r>
        <w:lastRenderedPageBreak/>
        <w:t xml:space="preserve">  </w:t>
      </w:r>
    </w:p>
    <w:p w:rsidR="00A607C6" w:rsidRDefault="00870462">
      <w:pPr>
        <w:pStyle w:val="Heading2"/>
        <w:spacing w:line="240" w:lineRule="auto"/>
        <w:ind w:left="392" w:hanging="407"/>
      </w:pPr>
      <w:r>
        <w:t xml:space="preserve">Units where simulation is permitted </w:t>
      </w:r>
    </w:p>
    <w:p w:rsidR="00A607C6" w:rsidRDefault="00870462">
      <w:pPr>
        <w:spacing w:after="0" w:line="240" w:lineRule="auto"/>
        <w:ind w:left="0" w:right="0" w:firstLine="0"/>
        <w:jc w:val="left"/>
      </w:pPr>
      <w:r>
        <w:t xml:space="preserve"> </w:t>
      </w:r>
    </w:p>
    <w:p w:rsidR="00A607C6" w:rsidRDefault="00870462">
      <w:pPr>
        <w:spacing w:after="0" w:line="240" w:lineRule="auto"/>
        <w:ind w:left="-5" w:right="0"/>
      </w:pPr>
      <w:r>
        <w:t>Simulation is not acceptable for any units within this qualification</w:t>
      </w:r>
      <w:r w:rsidR="00073CA3">
        <w:t xml:space="preserve">, </w:t>
      </w:r>
      <w:proofErr w:type="gramStart"/>
      <w:r>
        <w:t>with the exception of</w:t>
      </w:r>
      <w:proofErr w:type="gramEnd"/>
      <w:r>
        <w:t xml:space="preserve"> unit SKAES8 - Work in a healthy and safe way whilst seeking to achieve excellence in your sport.  </w:t>
      </w:r>
    </w:p>
    <w:p w:rsidR="00A607C6" w:rsidRDefault="00870462">
      <w:pPr>
        <w:spacing w:after="0" w:line="259" w:lineRule="auto"/>
        <w:ind w:left="0" w:right="0" w:firstLine="0"/>
        <w:jc w:val="left"/>
      </w:pPr>
      <w:r>
        <w:t xml:space="preserve"> </w:t>
      </w:r>
    </w:p>
    <w:p w:rsidR="00A607C6" w:rsidRDefault="00870462">
      <w:pPr>
        <w:spacing w:after="0" w:line="240" w:lineRule="auto"/>
        <w:ind w:left="-5" w:right="0"/>
      </w:pPr>
      <w:r>
        <w:t xml:space="preserve">Awarding bodies must issue </w:t>
      </w:r>
      <w:proofErr w:type="gramStart"/>
      <w:r>
        <w:t>sufficient</w:t>
      </w:r>
      <w:proofErr w:type="gramEnd"/>
      <w:r>
        <w:t xml:space="preserve"> guidance to their Centres which clearly states how simulations should be planned and organised. They must also provide guidance on how the demands placed on the learner are to be no more or less than what they would experience in a real work situation.  </w:t>
      </w:r>
    </w:p>
    <w:p w:rsidR="00A607C6" w:rsidRDefault="00870462">
      <w:pPr>
        <w:spacing w:after="0" w:line="240" w:lineRule="auto"/>
        <w:ind w:left="0" w:right="0" w:firstLine="0"/>
        <w:jc w:val="left"/>
      </w:pPr>
      <w:r>
        <w:t xml:space="preserve"> </w:t>
      </w:r>
    </w:p>
    <w:p w:rsidR="00A607C6" w:rsidRDefault="00870462">
      <w:pPr>
        <w:spacing w:after="0" w:line="240" w:lineRule="auto"/>
        <w:ind w:left="-5" w:right="0"/>
      </w:pPr>
      <w:r>
        <w:t xml:space="preserve">Where simulation is used to assess a </w:t>
      </w:r>
      <w:proofErr w:type="gramStart"/>
      <w:r>
        <w:t>unit</w:t>
      </w:r>
      <w:proofErr w:type="gramEnd"/>
      <w:r>
        <w:t xml:space="preserve"> it is good practice for the Centre to seek the advice of an External Verifier to ensure the validity of the simulated activity.  </w:t>
      </w:r>
    </w:p>
    <w:p w:rsidR="00A607C6" w:rsidRDefault="00870462">
      <w:pPr>
        <w:spacing w:after="0" w:line="240" w:lineRule="auto"/>
        <w:ind w:left="0" w:right="0" w:firstLine="0"/>
        <w:jc w:val="left"/>
      </w:pPr>
      <w:r>
        <w:t xml:space="preserve"> </w:t>
      </w:r>
    </w:p>
    <w:p w:rsidR="00A607C6" w:rsidRDefault="00870462">
      <w:pPr>
        <w:spacing w:after="0" w:line="240" w:lineRule="auto"/>
        <w:ind w:left="-5" w:right="0"/>
      </w:pPr>
      <w:r>
        <w:t xml:space="preserve">When simulation is used to assess part of a unit, Assessors and Internal Verifiers should agree the circumstances and conditions under which this assessment methodology is implemented. </w:t>
      </w:r>
    </w:p>
    <w:p w:rsidR="00A607C6" w:rsidRDefault="00A607C6">
      <w:pPr>
        <w:spacing w:after="0" w:line="240" w:lineRule="auto"/>
        <w:ind w:left="0" w:right="0" w:firstLine="0"/>
        <w:jc w:val="left"/>
        <w:rPr>
          <w:b/>
        </w:rPr>
      </w:pPr>
    </w:p>
    <w:p w:rsidR="00A607C6" w:rsidRDefault="00870462">
      <w:pPr>
        <w:spacing w:after="0" w:line="240" w:lineRule="auto"/>
        <w:ind w:left="0" w:right="0" w:firstLine="0"/>
        <w:jc w:val="left"/>
      </w:pPr>
      <w:r>
        <w:t xml:space="preserve">Observation of a learner’s performance in the workplace is only to be conducted by a qualified Assessor or an Expert Witness.   </w:t>
      </w:r>
    </w:p>
    <w:p w:rsidR="00A607C6" w:rsidRDefault="00870462">
      <w:pPr>
        <w:spacing w:after="0" w:line="259" w:lineRule="auto"/>
        <w:ind w:left="0" w:right="0" w:firstLine="0"/>
        <w:jc w:val="left"/>
      </w:pPr>
      <w:r>
        <w:t xml:space="preserve"> </w:t>
      </w:r>
    </w:p>
    <w:p w:rsidR="00A607C6" w:rsidRDefault="00870462">
      <w:pPr>
        <w:pStyle w:val="Heading1"/>
        <w:ind w:left="411" w:right="0" w:hanging="360"/>
        <w:rPr>
          <w:szCs w:val="28"/>
        </w:rPr>
      </w:pPr>
      <w:r>
        <w:rPr>
          <w:szCs w:val="28"/>
        </w:rPr>
        <w:t xml:space="preserve">Assessment and sources of evidence </w:t>
      </w:r>
    </w:p>
    <w:p w:rsidR="00A607C6" w:rsidRDefault="00A607C6">
      <w:pPr>
        <w:spacing w:after="0" w:line="259" w:lineRule="auto"/>
        <w:ind w:left="0" w:right="0" w:firstLine="0"/>
        <w:jc w:val="left"/>
      </w:pPr>
    </w:p>
    <w:p w:rsidR="00A607C6" w:rsidRDefault="00870462">
      <w:pPr>
        <w:spacing w:after="0"/>
        <w:ind w:left="-5" w:right="0"/>
      </w:pPr>
      <w:r>
        <w:t xml:space="preserve">A holistic approach towards the collection of evidence for this qualification is encouraged. The focus should be assessing activities generated in the workplace, through naturally occurring evidence, rather than focusing on specific tasks. </w:t>
      </w:r>
      <w:proofErr w:type="gramStart"/>
      <w:r>
        <w:t>Taken as a whole, the</w:t>
      </w:r>
      <w:proofErr w:type="gramEnd"/>
      <w:r>
        <w:t xml:space="preserve"> evidence must show the learner meets all performance criteria and knowledge requirements across the scope/range consistently, over a period of time. It should be clear where performance criteria and knowledge requirements have been covered and achieved. </w:t>
      </w:r>
    </w:p>
    <w:p w:rsidR="00A607C6" w:rsidRDefault="00A607C6">
      <w:pPr>
        <w:spacing w:after="0"/>
        <w:ind w:left="-5" w:right="0"/>
      </w:pPr>
    </w:p>
    <w:p w:rsidR="00A607C6" w:rsidRDefault="00870462">
      <w:pPr>
        <w:pStyle w:val="Heading2"/>
      </w:pPr>
      <w:r>
        <w:t>Assessment of knowledge and understanding</w:t>
      </w:r>
    </w:p>
    <w:p w:rsidR="00A607C6" w:rsidRDefault="00870462">
      <w:pPr>
        <w:ind w:left="-5" w:right="0"/>
      </w:pPr>
      <w:r>
        <w:t xml:space="preserve">The assessment of knowledge and understanding may take place in a different environment, for example a college or another environment which </w:t>
      </w:r>
      <w:proofErr w:type="gramStart"/>
      <w:r>
        <w:t>is not the immediate workplace</w:t>
      </w:r>
      <w:proofErr w:type="gramEnd"/>
      <w:r>
        <w:t xml:space="preserve">. However, the assessment of this knowledge and understanding should be linked directly to workplace performance. </w:t>
      </w:r>
    </w:p>
    <w:p w:rsidR="00A607C6" w:rsidRDefault="00870462">
      <w:pPr>
        <w:spacing w:after="0" w:line="259" w:lineRule="auto"/>
        <w:ind w:left="0" w:right="0" w:firstLine="0"/>
        <w:jc w:val="left"/>
      </w:pPr>
      <w:r>
        <w:rPr>
          <w:b/>
          <w:sz w:val="28"/>
        </w:rPr>
        <w:t xml:space="preserve"> </w:t>
      </w:r>
    </w:p>
    <w:p w:rsidR="00A607C6" w:rsidRDefault="00870462">
      <w:pPr>
        <w:spacing w:after="0"/>
        <w:ind w:left="-5" w:right="0"/>
      </w:pPr>
      <w:r>
        <w:t>The knowledge and understanding required by learner</w:t>
      </w:r>
      <w:r w:rsidR="0050550F">
        <w:t>s</w:t>
      </w:r>
      <w:r>
        <w:t xml:space="preserve"> to support performance in the workplace is detailed within the knowledge and understanding criteria of the Achieving Excellence in Sports Performance NOS. It is the responsibility of awarding bodies to ensure Centres are aware of these and have </w:t>
      </w:r>
      <w:proofErr w:type="gramStart"/>
      <w:r>
        <w:t>sufficient</w:t>
      </w:r>
      <w:proofErr w:type="gramEnd"/>
      <w:r>
        <w:t xml:space="preserve"> resources and arrangements in place to support learners to achieve these requirements of this qualification.  </w:t>
      </w:r>
    </w:p>
    <w:p w:rsidR="00A607C6" w:rsidRDefault="00A607C6">
      <w:pPr>
        <w:spacing w:after="0" w:line="259" w:lineRule="auto"/>
        <w:ind w:left="0" w:right="0" w:firstLine="0"/>
        <w:jc w:val="left"/>
      </w:pPr>
    </w:p>
    <w:p w:rsidR="00A607C6" w:rsidRDefault="00A607C6">
      <w:pPr>
        <w:spacing w:after="0" w:line="259" w:lineRule="auto"/>
        <w:ind w:left="0" w:right="0" w:firstLine="0"/>
        <w:jc w:val="left"/>
      </w:pPr>
    </w:p>
    <w:p w:rsidR="00A607C6" w:rsidRDefault="00870462">
      <w:pPr>
        <w:pStyle w:val="Heading2"/>
        <w:numPr>
          <w:ilvl w:val="0"/>
          <w:numId w:val="0"/>
        </w:numPr>
      </w:pPr>
      <w:r>
        <w:t xml:space="preserve">3.2 Supporting evidence </w:t>
      </w:r>
    </w:p>
    <w:p w:rsidR="00A607C6" w:rsidRDefault="00870462">
      <w:pPr>
        <w:spacing w:after="0" w:line="259" w:lineRule="auto"/>
        <w:ind w:left="0" w:right="0" w:firstLine="0"/>
        <w:jc w:val="left"/>
      </w:pPr>
      <w:r>
        <w:t xml:space="preserve"> </w:t>
      </w:r>
    </w:p>
    <w:p w:rsidR="00A607C6" w:rsidRDefault="00870462">
      <w:pPr>
        <w:spacing w:after="0"/>
        <w:ind w:left="-5" w:right="0"/>
      </w:pPr>
      <w:r>
        <w:t xml:space="preserve">Evidence produced by learners must be valid, </w:t>
      </w:r>
      <w:proofErr w:type="gramStart"/>
      <w:r>
        <w:t>sufficient</w:t>
      </w:r>
      <w:proofErr w:type="gramEnd"/>
      <w:r>
        <w:t>, reliable, authentic and current and relate directly to specific performance criteria and knowledge requirements. Sources of Evidence will be through observation of learner performance in the workplace by an assessor or expert witness. This could be supported by evidence from the following:</w:t>
      </w:r>
    </w:p>
    <w:p w:rsidR="00A607C6" w:rsidRDefault="00870462">
      <w:pPr>
        <w:spacing w:after="14" w:line="259" w:lineRule="auto"/>
        <w:ind w:left="0" w:right="0" w:firstLine="0"/>
        <w:jc w:val="left"/>
      </w:pPr>
      <w:r>
        <w:t xml:space="preserve"> </w:t>
      </w:r>
    </w:p>
    <w:p w:rsidR="00A607C6" w:rsidRDefault="00870462">
      <w:pPr>
        <w:numPr>
          <w:ilvl w:val="0"/>
          <w:numId w:val="7"/>
        </w:numPr>
        <w:ind w:right="0" w:hanging="360"/>
      </w:pPr>
      <w:r>
        <w:t>Expert witness testimony/evidence</w:t>
      </w:r>
    </w:p>
    <w:p w:rsidR="00A607C6" w:rsidRDefault="00870462">
      <w:pPr>
        <w:numPr>
          <w:ilvl w:val="0"/>
          <w:numId w:val="7"/>
        </w:numPr>
        <w:ind w:right="0" w:hanging="360"/>
      </w:pPr>
      <w:r>
        <w:t xml:space="preserve">Direct questioning </w:t>
      </w:r>
    </w:p>
    <w:p w:rsidR="00A607C6" w:rsidRDefault="00870462">
      <w:pPr>
        <w:numPr>
          <w:ilvl w:val="0"/>
          <w:numId w:val="7"/>
        </w:numPr>
        <w:ind w:right="0" w:hanging="360"/>
      </w:pPr>
      <w:r>
        <w:t xml:space="preserve">Professional discussion </w:t>
      </w:r>
    </w:p>
    <w:p w:rsidR="00A607C6" w:rsidRDefault="00870462">
      <w:pPr>
        <w:numPr>
          <w:ilvl w:val="0"/>
          <w:numId w:val="7"/>
        </w:numPr>
        <w:ind w:right="0" w:hanging="360"/>
      </w:pPr>
      <w:r>
        <w:t xml:space="preserve">Portfolio of evidence </w:t>
      </w:r>
    </w:p>
    <w:p w:rsidR="00A607C6" w:rsidRDefault="00870462">
      <w:pPr>
        <w:numPr>
          <w:ilvl w:val="0"/>
          <w:numId w:val="7"/>
        </w:numPr>
        <w:ind w:right="0" w:hanging="360"/>
      </w:pPr>
      <w:r>
        <w:t>Examination of work products</w:t>
      </w:r>
    </w:p>
    <w:p w:rsidR="00A607C6" w:rsidRDefault="00870462">
      <w:pPr>
        <w:numPr>
          <w:ilvl w:val="0"/>
          <w:numId w:val="7"/>
        </w:numPr>
        <w:ind w:right="0" w:hanging="360"/>
      </w:pPr>
      <w:r>
        <w:t xml:space="preserve">Reflective diary on own practice in an appropriate working environment </w:t>
      </w:r>
    </w:p>
    <w:p w:rsidR="00A607C6" w:rsidRDefault="00870462">
      <w:pPr>
        <w:numPr>
          <w:ilvl w:val="0"/>
          <w:numId w:val="7"/>
        </w:numPr>
        <w:ind w:right="0" w:hanging="360"/>
      </w:pPr>
      <w:r>
        <w:t xml:space="preserve">Written assignments </w:t>
      </w:r>
    </w:p>
    <w:p w:rsidR="00A607C6" w:rsidRDefault="00870462">
      <w:pPr>
        <w:numPr>
          <w:ilvl w:val="0"/>
          <w:numId w:val="7"/>
        </w:numPr>
        <w:ind w:right="0" w:hanging="360"/>
      </w:pPr>
      <w:r>
        <w:t xml:space="preserve">Projects/case studies </w:t>
      </w:r>
    </w:p>
    <w:p w:rsidR="00A607C6" w:rsidRDefault="00A607C6">
      <w:pPr>
        <w:spacing w:after="0" w:line="259" w:lineRule="auto"/>
        <w:ind w:left="0" w:right="0" w:firstLine="0"/>
        <w:jc w:val="left"/>
      </w:pPr>
    </w:p>
    <w:p w:rsidR="00A607C6" w:rsidRDefault="00870462">
      <w:pPr>
        <w:pStyle w:val="Heading2"/>
        <w:numPr>
          <w:ilvl w:val="0"/>
          <w:numId w:val="0"/>
        </w:numPr>
        <w:ind w:left="392"/>
      </w:pPr>
      <w:r>
        <w:t xml:space="preserve">3.3 Alternative forms of recording evidence using ICT.  </w:t>
      </w:r>
    </w:p>
    <w:p w:rsidR="00A607C6" w:rsidRDefault="00870462">
      <w:pPr>
        <w:spacing w:after="0" w:line="259" w:lineRule="auto"/>
        <w:ind w:left="0" w:right="0" w:firstLine="0"/>
        <w:jc w:val="left"/>
      </w:pPr>
      <w:r>
        <w:rPr>
          <w:b/>
        </w:rPr>
        <w:t xml:space="preserve"> </w:t>
      </w:r>
    </w:p>
    <w:p w:rsidR="00A607C6" w:rsidRDefault="00870462">
      <w:pPr>
        <w:autoSpaceDE w:val="0"/>
        <w:autoSpaceDN w:val="0"/>
        <w:rPr>
          <w:rFonts w:eastAsiaTheme="minorHAnsi"/>
          <w:szCs w:val="24"/>
        </w:rPr>
      </w:pPr>
      <w:r>
        <w:rPr>
          <w:szCs w:val="24"/>
        </w:rPr>
        <w:t>It is recognised that alternative forms of recording assessment evidence will evolve using information and communications technologies including e-portfolios. Regardless of the method used, the guiding principle must be that information about practice must comply with legal requirements and best sector practice in relation to confidentiality. This information must also be traceable for internal and external verification purposes.</w:t>
      </w:r>
    </w:p>
    <w:p w:rsidR="00A607C6" w:rsidRDefault="00A607C6">
      <w:pPr>
        <w:spacing w:after="17" w:line="259" w:lineRule="auto"/>
        <w:ind w:left="0" w:right="0" w:firstLine="0"/>
        <w:jc w:val="left"/>
        <w:rPr>
          <w:b/>
          <w:sz w:val="28"/>
        </w:rPr>
      </w:pPr>
    </w:p>
    <w:p w:rsidR="00A607C6" w:rsidRDefault="00A607C6">
      <w:pPr>
        <w:spacing w:after="17" w:line="259" w:lineRule="auto"/>
        <w:ind w:left="0" w:right="0" w:firstLine="0"/>
        <w:jc w:val="left"/>
        <w:rPr>
          <w:b/>
          <w:sz w:val="28"/>
        </w:rPr>
      </w:pPr>
    </w:p>
    <w:p w:rsidR="00A607C6" w:rsidRDefault="00A607C6">
      <w:pPr>
        <w:spacing w:after="17" w:line="259" w:lineRule="auto"/>
        <w:ind w:left="0" w:right="0" w:firstLine="0"/>
        <w:jc w:val="left"/>
        <w:rPr>
          <w:b/>
          <w:sz w:val="28"/>
        </w:rPr>
      </w:pPr>
    </w:p>
    <w:p w:rsidR="00A607C6" w:rsidRDefault="00A607C6">
      <w:pPr>
        <w:spacing w:after="17" w:line="259" w:lineRule="auto"/>
        <w:ind w:left="0" w:right="0" w:firstLine="0"/>
        <w:jc w:val="left"/>
        <w:rPr>
          <w:b/>
          <w:sz w:val="28"/>
        </w:rPr>
      </w:pPr>
    </w:p>
    <w:p w:rsidR="00A607C6" w:rsidRDefault="00A607C6">
      <w:pPr>
        <w:spacing w:after="17" w:line="259" w:lineRule="auto"/>
        <w:ind w:left="0" w:right="0" w:firstLine="0"/>
        <w:jc w:val="left"/>
        <w:rPr>
          <w:b/>
          <w:sz w:val="28"/>
        </w:rPr>
      </w:pPr>
    </w:p>
    <w:p w:rsidR="00A607C6" w:rsidRDefault="00A607C6">
      <w:pPr>
        <w:spacing w:after="17" w:line="259" w:lineRule="auto"/>
        <w:ind w:left="0" w:right="0" w:firstLine="0"/>
        <w:jc w:val="left"/>
        <w:rPr>
          <w:b/>
          <w:sz w:val="28"/>
        </w:rPr>
      </w:pPr>
    </w:p>
    <w:p w:rsidR="00A607C6" w:rsidRDefault="00A607C6">
      <w:pPr>
        <w:spacing w:after="17" w:line="259" w:lineRule="auto"/>
        <w:ind w:left="0" w:right="0" w:firstLine="0"/>
        <w:jc w:val="left"/>
        <w:rPr>
          <w:b/>
          <w:sz w:val="28"/>
        </w:rPr>
      </w:pPr>
    </w:p>
    <w:p w:rsidR="00A607C6" w:rsidRDefault="00A607C6">
      <w:pPr>
        <w:spacing w:after="17" w:line="259" w:lineRule="auto"/>
        <w:ind w:left="0" w:right="0" w:firstLine="0"/>
        <w:jc w:val="left"/>
      </w:pPr>
    </w:p>
    <w:p w:rsidR="00A607C6" w:rsidRDefault="00870462">
      <w:pPr>
        <w:spacing w:after="160" w:line="259" w:lineRule="auto"/>
        <w:ind w:left="0" w:right="0" w:firstLine="0"/>
        <w:jc w:val="left"/>
        <w:rPr>
          <w:b/>
          <w:sz w:val="28"/>
        </w:rPr>
      </w:pPr>
      <w:r>
        <w:br w:type="page"/>
      </w:r>
    </w:p>
    <w:p w:rsidR="00A607C6" w:rsidRDefault="00870462">
      <w:pPr>
        <w:pStyle w:val="Heading1"/>
        <w:ind w:left="411" w:right="0" w:hanging="360"/>
      </w:pPr>
      <w:r>
        <w:lastRenderedPageBreak/>
        <w:t xml:space="preserve">Occupational competence requirements for those involved in the assessment and verification process  </w:t>
      </w:r>
    </w:p>
    <w:p w:rsidR="00A607C6" w:rsidRDefault="00870462">
      <w:pPr>
        <w:spacing w:after="97" w:line="259" w:lineRule="auto"/>
        <w:ind w:left="0" w:right="0" w:firstLine="0"/>
        <w:jc w:val="left"/>
      </w:pPr>
      <w:r>
        <w:rPr>
          <w:rFonts w:ascii="Times New Roman" w:eastAsia="Times New Roman" w:hAnsi="Times New Roman" w:cs="Times New Roman"/>
          <w:sz w:val="16"/>
        </w:rPr>
        <w:t xml:space="preserve"> </w:t>
      </w:r>
    </w:p>
    <w:p w:rsidR="00A607C6" w:rsidRDefault="00870462">
      <w:pPr>
        <w:spacing w:after="0"/>
        <w:ind w:left="-5" w:right="0"/>
      </w:pPr>
      <w:r>
        <w:t xml:space="preserve">The occupational expertise of Expert Witnesses, Assessors and those responsible for the internal/external verification of this qualification is one of the key factors underpinning valid, fair and reliable assessment. Therefore, ensuring the integrity and professionalism of these roles is of paramount importance and they must be given </w:t>
      </w:r>
      <w:proofErr w:type="gramStart"/>
      <w:r>
        <w:t>sufficient</w:t>
      </w:r>
      <w:proofErr w:type="gramEnd"/>
      <w:r>
        <w:t xml:space="preserve"> time to carry out their roles effectively.   </w:t>
      </w:r>
    </w:p>
    <w:p w:rsidR="00A607C6" w:rsidRDefault="00870462">
      <w:pPr>
        <w:spacing w:after="0" w:line="259" w:lineRule="auto"/>
        <w:ind w:left="0" w:right="0" w:firstLine="0"/>
        <w:jc w:val="left"/>
      </w:pPr>
      <w:r>
        <w:t xml:space="preserve"> </w:t>
      </w:r>
    </w:p>
    <w:p w:rsidR="00A607C6" w:rsidRDefault="00870462">
      <w:pPr>
        <w:pStyle w:val="Heading2"/>
        <w:ind w:left="392" w:hanging="407"/>
      </w:pPr>
      <w:r>
        <w:t xml:space="preserve">Expert Witness </w:t>
      </w:r>
    </w:p>
    <w:p w:rsidR="00A607C6" w:rsidRDefault="00870462">
      <w:pPr>
        <w:spacing w:after="0" w:line="259" w:lineRule="auto"/>
        <w:ind w:left="0" w:right="0" w:firstLine="0"/>
        <w:jc w:val="left"/>
      </w:pPr>
      <w:r>
        <w:rPr>
          <w:b/>
        </w:rPr>
        <w:t xml:space="preserve"> </w:t>
      </w:r>
    </w:p>
    <w:p w:rsidR="00A607C6" w:rsidRDefault="00870462">
      <w:pPr>
        <w:spacing w:after="0"/>
        <w:ind w:left="-5" w:right="0"/>
      </w:pPr>
      <w:r>
        <w:t xml:space="preserve">The role of the Expert Witness is to submit evidence to the Assessor regarding the competence of the learner in meeting the standards identified in any given unit. This evidence must directly relate to the learner’s performance in the workplace which has been directly observed by the Expert Witness. Therefore, those who could fulfil the role of an Expert Witness for this qualification could include, but are not limited to:  </w:t>
      </w:r>
    </w:p>
    <w:p w:rsidR="00A607C6" w:rsidRDefault="00870462">
      <w:pPr>
        <w:spacing w:after="14" w:line="259" w:lineRule="auto"/>
        <w:ind w:left="0" w:right="0" w:firstLine="0"/>
        <w:jc w:val="left"/>
      </w:pPr>
      <w:r>
        <w:t xml:space="preserve"> </w:t>
      </w:r>
    </w:p>
    <w:p w:rsidR="00A607C6" w:rsidRDefault="00870462">
      <w:pPr>
        <w:numPr>
          <w:ilvl w:val="0"/>
          <w:numId w:val="8"/>
        </w:numPr>
        <w:ind w:right="0" w:hanging="360"/>
      </w:pPr>
      <w:r>
        <w:t xml:space="preserve">Appropriate Coaching staff; </w:t>
      </w:r>
    </w:p>
    <w:p w:rsidR="00A607C6" w:rsidRDefault="00870462">
      <w:pPr>
        <w:numPr>
          <w:ilvl w:val="0"/>
          <w:numId w:val="8"/>
        </w:numPr>
        <w:ind w:right="0" w:hanging="360"/>
      </w:pPr>
      <w:r>
        <w:t xml:space="preserve">Team Manager; </w:t>
      </w:r>
    </w:p>
    <w:p w:rsidR="00A607C6" w:rsidRDefault="00870462">
      <w:pPr>
        <w:numPr>
          <w:ilvl w:val="0"/>
          <w:numId w:val="8"/>
        </w:numPr>
        <w:ind w:right="0" w:hanging="360"/>
      </w:pPr>
      <w:r>
        <w:t xml:space="preserve">Nutritionist; </w:t>
      </w:r>
    </w:p>
    <w:p w:rsidR="00A607C6" w:rsidRDefault="00870462">
      <w:pPr>
        <w:numPr>
          <w:ilvl w:val="0"/>
          <w:numId w:val="8"/>
        </w:numPr>
        <w:ind w:right="0" w:hanging="360"/>
      </w:pPr>
      <w:r>
        <w:t xml:space="preserve">Physiotherapist and other medical related staff; </w:t>
      </w:r>
    </w:p>
    <w:p w:rsidR="00A607C6" w:rsidRDefault="00870462">
      <w:pPr>
        <w:numPr>
          <w:ilvl w:val="0"/>
          <w:numId w:val="8"/>
        </w:numPr>
        <w:ind w:right="0" w:hanging="360"/>
      </w:pPr>
      <w:r>
        <w:t>Mentors;</w:t>
      </w:r>
    </w:p>
    <w:p w:rsidR="00A607C6" w:rsidRDefault="00870462">
      <w:pPr>
        <w:numPr>
          <w:ilvl w:val="0"/>
          <w:numId w:val="8"/>
        </w:numPr>
        <w:ind w:right="0" w:hanging="360"/>
      </w:pPr>
      <w:r>
        <w:t>Performance Lifestyle;</w:t>
      </w:r>
    </w:p>
    <w:p w:rsidR="00A607C6" w:rsidRDefault="00870462">
      <w:pPr>
        <w:numPr>
          <w:ilvl w:val="0"/>
          <w:numId w:val="8"/>
        </w:numPr>
        <w:ind w:right="0" w:hanging="360"/>
      </w:pPr>
      <w:r>
        <w:t xml:space="preserve">Strength and Conditioning Coach; or other Elite Athletes. </w:t>
      </w:r>
    </w:p>
    <w:p w:rsidR="00A607C6" w:rsidRDefault="00A607C6">
      <w:pPr>
        <w:ind w:right="0"/>
      </w:pPr>
    </w:p>
    <w:p w:rsidR="00A607C6" w:rsidRDefault="00870462">
      <w:pPr>
        <w:autoSpaceDE w:val="0"/>
        <w:autoSpaceDN w:val="0"/>
        <w:adjustRightInd w:val="0"/>
        <w:spacing w:after="0" w:line="240" w:lineRule="auto"/>
        <w:ind w:left="0" w:right="0" w:firstLine="0"/>
        <w:jc w:val="left"/>
        <w:rPr>
          <w:rFonts w:eastAsiaTheme="minorHAnsi"/>
          <w:szCs w:val="24"/>
          <w:lang w:eastAsia="en-US"/>
        </w:rPr>
      </w:pPr>
      <w:r>
        <w:rPr>
          <w:rFonts w:eastAsiaTheme="minorHAnsi"/>
          <w:szCs w:val="24"/>
          <w:lang w:eastAsia="en-US"/>
        </w:rPr>
        <w:t xml:space="preserve">Expert Witnesses may prove particularly important for those </w:t>
      </w:r>
      <w:r w:rsidR="0050550F">
        <w:rPr>
          <w:rFonts w:eastAsiaTheme="minorHAnsi"/>
          <w:szCs w:val="24"/>
          <w:lang w:eastAsia="en-US"/>
        </w:rPr>
        <w:t>learners</w:t>
      </w:r>
      <w:r>
        <w:rPr>
          <w:rFonts w:eastAsiaTheme="minorHAnsi"/>
          <w:szCs w:val="24"/>
          <w:lang w:eastAsia="en-US"/>
        </w:rPr>
        <w:t xml:space="preserve"> who are indirectly supervised during part of their work role, but who have contact with a range of different professionals in the course of their work activities. </w:t>
      </w:r>
    </w:p>
    <w:p w:rsidR="00A607C6" w:rsidRDefault="00A607C6">
      <w:pPr>
        <w:autoSpaceDE w:val="0"/>
        <w:autoSpaceDN w:val="0"/>
        <w:adjustRightInd w:val="0"/>
        <w:spacing w:after="0" w:line="240" w:lineRule="auto"/>
        <w:ind w:left="0" w:right="0" w:firstLine="0"/>
        <w:jc w:val="left"/>
        <w:rPr>
          <w:rFonts w:eastAsiaTheme="minorHAnsi"/>
          <w:szCs w:val="24"/>
          <w:lang w:eastAsia="en-US"/>
        </w:rPr>
      </w:pPr>
    </w:p>
    <w:p w:rsidR="00A607C6" w:rsidRDefault="00870462">
      <w:pPr>
        <w:autoSpaceDE w:val="0"/>
        <w:autoSpaceDN w:val="0"/>
        <w:adjustRightInd w:val="0"/>
        <w:spacing w:after="0" w:line="240" w:lineRule="auto"/>
        <w:ind w:left="0" w:right="0" w:firstLine="0"/>
        <w:jc w:val="left"/>
        <w:rPr>
          <w:rFonts w:eastAsiaTheme="minorHAnsi"/>
          <w:szCs w:val="24"/>
          <w:lang w:eastAsia="en-US"/>
        </w:rPr>
      </w:pPr>
      <w:r>
        <w:rPr>
          <w:rFonts w:eastAsiaTheme="minorHAnsi"/>
          <w:szCs w:val="24"/>
          <w:lang w:eastAsia="en-US"/>
        </w:rPr>
        <w:t xml:space="preserve">Evidence from Expert Witnesses must meet the requirements of validity, reliability and authenticity. Expert Witnesses must be inducted by the </w:t>
      </w:r>
      <w:proofErr w:type="gramStart"/>
      <w:r>
        <w:rPr>
          <w:rFonts w:eastAsiaTheme="minorHAnsi"/>
          <w:szCs w:val="24"/>
          <w:lang w:eastAsia="en-US"/>
        </w:rPr>
        <w:t>Centre</w:t>
      </w:r>
      <w:proofErr w:type="gramEnd"/>
      <w:r>
        <w:rPr>
          <w:rFonts w:eastAsiaTheme="minorHAnsi"/>
          <w:szCs w:val="24"/>
          <w:lang w:eastAsia="en-US"/>
        </w:rPr>
        <w:t xml:space="preserve"> so they are familiar with those units for which they are to provide expert witness evidence. </w:t>
      </w:r>
    </w:p>
    <w:p w:rsidR="00A607C6" w:rsidRDefault="00A607C6">
      <w:pPr>
        <w:autoSpaceDE w:val="0"/>
        <w:autoSpaceDN w:val="0"/>
        <w:adjustRightInd w:val="0"/>
        <w:spacing w:after="0" w:line="240" w:lineRule="auto"/>
        <w:ind w:left="0" w:right="0" w:firstLine="0"/>
        <w:jc w:val="left"/>
        <w:rPr>
          <w:rFonts w:eastAsiaTheme="minorHAnsi"/>
          <w:szCs w:val="24"/>
          <w:lang w:eastAsia="en-US"/>
        </w:rPr>
      </w:pPr>
    </w:p>
    <w:p w:rsidR="00A607C6" w:rsidRDefault="00A607C6">
      <w:pPr>
        <w:autoSpaceDE w:val="0"/>
        <w:autoSpaceDN w:val="0"/>
        <w:adjustRightInd w:val="0"/>
        <w:spacing w:after="0" w:line="240" w:lineRule="auto"/>
        <w:ind w:left="0" w:right="0" w:firstLine="0"/>
        <w:jc w:val="left"/>
        <w:rPr>
          <w:rFonts w:eastAsiaTheme="minorHAnsi"/>
          <w:szCs w:val="24"/>
          <w:lang w:eastAsia="en-US"/>
        </w:rPr>
      </w:pPr>
    </w:p>
    <w:p w:rsidR="00A607C6" w:rsidRDefault="00A607C6">
      <w:pPr>
        <w:autoSpaceDE w:val="0"/>
        <w:autoSpaceDN w:val="0"/>
        <w:adjustRightInd w:val="0"/>
        <w:spacing w:after="0" w:line="240" w:lineRule="auto"/>
        <w:ind w:left="0" w:right="0" w:firstLine="0"/>
        <w:jc w:val="left"/>
        <w:rPr>
          <w:rFonts w:eastAsiaTheme="minorHAnsi"/>
          <w:szCs w:val="24"/>
          <w:lang w:eastAsia="en-US"/>
        </w:rPr>
      </w:pPr>
    </w:p>
    <w:p w:rsidR="00A607C6" w:rsidRDefault="00A607C6">
      <w:pPr>
        <w:autoSpaceDE w:val="0"/>
        <w:autoSpaceDN w:val="0"/>
        <w:adjustRightInd w:val="0"/>
        <w:spacing w:after="0" w:line="240" w:lineRule="auto"/>
        <w:ind w:left="0" w:right="0" w:firstLine="0"/>
        <w:jc w:val="left"/>
        <w:rPr>
          <w:rFonts w:eastAsiaTheme="minorHAnsi"/>
          <w:szCs w:val="24"/>
          <w:lang w:eastAsia="en-US"/>
        </w:rPr>
      </w:pPr>
    </w:p>
    <w:p w:rsidR="00A607C6" w:rsidRDefault="00A607C6">
      <w:pPr>
        <w:autoSpaceDE w:val="0"/>
        <w:autoSpaceDN w:val="0"/>
        <w:adjustRightInd w:val="0"/>
        <w:spacing w:after="0" w:line="240" w:lineRule="auto"/>
        <w:ind w:left="0" w:right="0" w:firstLine="0"/>
        <w:jc w:val="left"/>
        <w:rPr>
          <w:rFonts w:eastAsiaTheme="minorHAnsi"/>
          <w:szCs w:val="24"/>
          <w:lang w:eastAsia="en-US"/>
        </w:rPr>
      </w:pPr>
    </w:p>
    <w:p w:rsidR="00A607C6" w:rsidRDefault="00A607C6">
      <w:pPr>
        <w:autoSpaceDE w:val="0"/>
        <w:autoSpaceDN w:val="0"/>
        <w:adjustRightInd w:val="0"/>
        <w:spacing w:after="0" w:line="240" w:lineRule="auto"/>
        <w:ind w:left="0" w:right="0" w:firstLine="0"/>
        <w:jc w:val="left"/>
        <w:rPr>
          <w:rFonts w:eastAsiaTheme="minorHAnsi"/>
          <w:szCs w:val="24"/>
          <w:lang w:eastAsia="en-US"/>
        </w:rPr>
      </w:pPr>
    </w:p>
    <w:p w:rsidR="00A607C6" w:rsidRDefault="00A607C6">
      <w:pPr>
        <w:autoSpaceDE w:val="0"/>
        <w:autoSpaceDN w:val="0"/>
        <w:adjustRightInd w:val="0"/>
        <w:spacing w:after="0" w:line="240" w:lineRule="auto"/>
        <w:ind w:left="0" w:right="0" w:firstLine="0"/>
        <w:jc w:val="left"/>
        <w:rPr>
          <w:rFonts w:eastAsiaTheme="minorHAnsi"/>
          <w:szCs w:val="24"/>
          <w:lang w:eastAsia="en-US"/>
        </w:rPr>
      </w:pPr>
    </w:p>
    <w:p w:rsidR="00A607C6" w:rsidRDefault="00A607C6">
      <w:pPr>
        <w:autoSpaceDE w:val="0"/>
        <w:autoSpaceDN w:val="0"/>
        <w:adjustRightInd w:val="0"/>
        <w:spacing w:after="0" w:line="240" w:lineRule="auto"/>
        <w:ind w:left="0" w:right="0" w:firstLine="0"/>
        <w:jc w:val="left"/>
        <w:rPr>
          <w:rFonts w:eastAsiaTheme="minorHAnsi"/>
          <w:szCs w:val="24"/>
          <w:lang w:eastAsia="en-US"/>
        </w:rPr>
      </w:pPr>
    </w:p>
    <w:p w:rsidR="00A607C6" w:rsidRDefault="00A607C6">
      <w:pPr>
        <w:autoSpaceDE w:val="0"/>
        <w:autoSpaceDN w:val="0"/>
        <w:adjustRightInd w:val="0"/>
        <w:spacing w:after="0" w:line="240" w:lineRule="auto"/>
        <w:ind w:left="0" w:right="0" w:firstLine="0"/>
        <w:jc w:val="left"/>
        <w:rPr>
          <w:szCs w:val="24"/>
        </w:rPr>
      </w:pPr>
    </w:p>
    <w:p w:rsidR="00A607C6" w:rsidRDefault="00870462">
      <w:pPr>
        <w:ind w:left="-5" w:right="0"/>
        <w:rPr>
          <w:szCs w:val="24"/>
        </w:rPr>
      </w:pPr>
      <w:r>
        <w:rPr>
          <w:szCs w:val="24"/>
        </w:rPr>
        <w:lastRenderedPageBreak/>
        <w:t xml:space="preserve">The Expert Witness must also be: </w:t>
      </w:r>
    </w:p>
    <w:p w:rsidR="00A607C6" w:rsidRDefault="00870462">
      <w:pPr>
        <w:ind w:left="-5" w:right="0"/>
      </w:pPr>
      <w:r>
        <w:rPr>
          <w:szCs w:val="24"/>
        </w:rPr>
        <w:t xml:space="preserve"> </w:t>
      </w:r>
    </w:p>
    <w:tbl>
      <w:tblPr>
        <w:tblStyle w:val="TableGrid0"/>
        <w:tblW w:w="10456" w:type="dxa"/>
        <w:tblInd w:w="-108" w:type="dxa"/>
        <w:tblLayout w:type="fixed"/>
        <w:tblCellMar>
          <w:top w:w="90" w:type="dxa"/>
          <w:left w:w="108" w:type="dxa"/>
          <w:right w:w="72" w:type="dxa"/>
        </w:tblCellMar>
        <w:tblLook w:val="04A0" w:firstRow="1" w:lastRow="0" w:firstColumn="1" w:lastColumn="0" w:noHBand="0" w:noVBand="1"/>
      </w:tblPr>
      <w:tblGrid>
        <w:gridCol w:w="2660"/>
        <w:gridCol w:w="7796"/>
      </w:tblGrid>
      <w:tr w:rsidR="00A607C6">
        <w:trPr>
          <w:trHeight w:val="342"/>
        </w:trPr>
        <w:tc>
          <w:tcPr>
            <w:tcW w:w="2660" w:type="dxa"/>
            <w:tcBorders>
              <w:top w:val="single" w:sz="8" w:space="0" w:color="538DD3"/>
              <w:left w:val="nil"/>
              <w:bottom w:val="single" w:sz="8" w:space="0" w:color="538DD3"/>
              <w:right w:val="nil"/>
            </w:tcBorders>
          </w:tcPr>
          <w:p w:rsidR="00A607C6" w:rsidRDefault="00A607C6">
            <w:pPr>
              <w:spacing w:after="0" w:line="259" w:lineRule="auto"/>
              <w:ind w:left="0" w:right="0" w:firstLine="0"/>
              <w:jc w:val="left"/>
            </w:pPr>
          </w:p>
        </w:tc>
        <w:tc>
          <w:tcPr>
            <w:tcW w:w="7796"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t xml:space="preserve">Definition </w:t>
            </w:r>
          </w:p>
        </w:tc>
      </w:tr>
      <w:tr w:rsidR="00A607C6">
        <w:trPr>
          <w:trHeight w:val="1616"/>
        </w:trPr>
        <w:tc>
          <w:tcPr>
            <w:tcW w:w="2660"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t xml:space="preserve">Occupationally competent </w:t>
            </w:r>
          </w:p>
        </w:tc>
        <w:tc>
          <w:tcPr>
            <w:tcW w:w="7796"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color w:val="404040"/>
              </w:rPr>
              <w:t xml:space="preserve">Each Expert Witness must be actively practicing and industry competent in the functions concerned, in the unit(s), for which the learner is being assessed.  </w:t>
            </w:r>
          </w:p>
        </w:tc>
      </w:tr>
      <w:tr w:rsidR="00A607C6">
        <w:trPr>
          <w:trHeight w:val="972"/>
        </w:trPr>
        <w:tc>
          <w:tcPr>
            <w:tcW w:w="2660" w:type="dxa"/>
            <w:tcBorders>
              <w:top w:val="single" w:sz="8" w:space="0" w:color="538DD3"/>
              <w:left w:val="nil"/>
              <w:bottom w:val="single" w:sz="8" w:space="0" w:color="538DD3"/>
              <w:right w:val="nil"/>
            </w:tcBorders>
            <w:shd w:val="clear" w:color="auto" w:fill="DAE5F1"/>
          </w:tcPr>
          <w:p w:rsidR="00A607C6" w:rsidRDefault="00870462">
            <w:pPr>
              <w:spacing w:after="0" w:line="259" w:lineRule="auto"/>
              <w:ind w:left="0" w:right="0" w:firstLine="0"/>
              <w:jc w:val="left"/>
            </w:pPr>
            <w:r>
              <w:rPr>
                <w:b/>
                <w:color w:val="404040"/>
              </w:rPr>
              <w:t xml:space="preserve">Familiar with the qualification </w:t>
            </w:r>
          </w:p>
        </w:tc>
        <w:tc>
          <w:tcPr>
            <w:tcW w:w="7796" w:type="dxa"/>
            <w:tcBorders>
              <w:top w:val="single" w:sz="8" w:space="0" w:color="538DD3"/>
              <w:left w:val="nil"/>
              <w:bottom w:val="single" w:sz="8" w:space="0" w:color="538DD3"/>
              <w:right w:val="nil"/>
            </w:tcBorders>
            <w:shd w:val="clear" w:color="auto" w:fill="DAE5F1"/>
          </w:tcPr>
          <w:p w:rsidR="00A607C6" w:rsidRDefault="00870462">
            <w:pPr>
              <w:spacing w:after="0" w:line="259" w:lineRule="auto"/>
              <w:ind w:left="0" w:right="0" w:firstLine="0"/>
              <w:jc w:val="left"/>
            </w:pPr>
            <w:r>
              <w:rPr>
                <w:color w:val="404040"/>
              </w:rPr>
              <w:t>Each Expert Witness must be able to interpret current working practices, technologies and products within the area of work</w:t>
            </w:r>
          </w:p>
        </w:tc>
      </w:tr>
      <w:tr w:rsidR="00A607C6">
        <w:trPr>
          <w:trHeight w:val="1621"/>
        </w:trPr>
        <w:tc>
          <w:tcPr>
            <w:tcW w:w="2660" w:type="dxa"/>
            <w:vMerge w:val="restart"/>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t xml:space="preserve">Credible </w:t>
            </w:r>
          </w:p>
        </w:tc>
        <w:tc>
          <w:tcPr>
            <w:tcW w:w="7796"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color w:val="404040"/>
              </w:rPr>
              <w:t>Each Expert Witness must have access to, and be engaging with, continuous professional development</w:t>
            </w:r>
            <w:r>
              <w:rPr>
                <w:color w:val="404040"/>
                <w:vertAlign w:val="superscript"/>
              </w:rPr>
              <w:footnoteReference w:id="1"/>
            </w:r>
            <w:r>
              <w:rPr>
                <w:color w:val="404040"/>
              </w:rPr>
              <w:t xml:space="preserve"> activities in order to keep up to date with developments and any issues relevant to the qualification and/or its units. These may include those offered by the awarding body or other recognised and relevant providers in the sector. Responsibility for CPD is the individual’s, not the centre they work for.</w:t>
            </w:r>
          </w:p>
        </w:tc>
      </w:tr>
      <w:tr w:rsidR="00A607C6">
        <w:trPr>
          <w:trHeight w:val="146"/>
        </w:trPr>
        <w:tc>
          <w:tcPr>
            <w:tcW w:w="2660" w:type="dxa"/>
            <w:vMerge/>
            <w:tcBorders>
              <w:top w:val="nil"/>
              <w:left w:val="nil"/>
              <w:bottom w:val="single" w:sz="8" w:space="0" w:color="538DD3"/>
              <w:right w:val="nil"/>
            </w:tcBorders>
          </w:tcPr>
          <w:p w:rsidR="00A607C6" w:rsidRDefault="00A607C6">
            <w:pPr>
              <w:spacing w:after="160" w:line="259" w:lineRule="auto"/>
              <w:ind w:left="0" w:right="0" w:firstLine="0"/>
              <w:jc w:val="left"/>
            </w:pPr>
          </w:p>
        </w:tc>
        <w:tc>
          <w:tcPr>
            <w:tcW w:w="7796" w:type="dxa"/>
            <w:tcBorders>
              <w:top w:val="single" w:sz="8" w:space="0" w:color="538DD3"/>
              <w:left w:val="nil"/>
              <w:bottom w:val="single" w:sz="8" w:space="0" w:color="538DD3"/>
              <w:right w:val="nil"/>
            </w:tcBorders>
            <w:shd w:val="clear" w:color="auto" w:fill="DAE5F1"/>
          </w:tcPr>
          <w:p w:rsidR="00A607C6" w:rsidRDefault="00A607C6">
            <w:pPr>
              <w:spacing w:after="0" w:line="259" w:lineRule="auto"/>
              <w:ind w:left="0" w:right="0" w:firstLine="0"/>
              <w:jc w:val="left"/>
            </w:pPr>
          </w:p>
        </w:tc>
      </w:tr>
    </w:tbl>
    <w:p w:rsidR="00A607C6" w:rsidRDefault="00870462">
      <w:pPr>
        <w:spacing w:after="0" w:line="259" w:lineRule="auto"/>
        <w:ind w:left="0" w:right="0" w:firstLine="0"/>
        <w:jc w:val="left"/>
        <w:rPr>
          <w:szCs w:val="24"/>
        </w:rPr>
      </w:pPr>
      <w:r>
        <w:rPr>
          <w:rFonts w:ascii="Times New Roman" w:eastAsia="Times New Roman" w:hAnsi="Times New Roman" w:cs="Times New Roman"/>
        </w:rPr>
        <w:t xml:space="preserve"> </w:t>
      </w:r>
    </w:p>
    <w:p w:rsidR="00A607C6" w:rsidRDefault="00870462">
      <w:pPr>
        <w:spacing w:after="0" w:line="259" w:lineRule="auto"/>
        <w:ind w:left="0" w:right="0" w:firstLine="0"/>
        <w:jc w:val="left"/>
        <w:rPr>
          <w:szCs w:val="24"/>
        </w:rPr>
      </w:pPr>
      <w:r>
        <w:t xml:space="preserve"> </w:t>
      </w:r>
    </w:p>
    <w:p w:rsidR="00A607C6" w:rsidRDefault="00870462">
      <w:pPr>
        <w:spacing w:after="0"/>
        <w:ind w:left="-5" w:right="0"/>
      </w:pPr>
      <w:r>
        <w:t xml:space="preserve">It is not necessary for Expert Witnesses to hold an assessor qualification as it is the responsibility of the Assessor to make the final assessment decision(s) about the acceptability of all evidence submitted, regardless of source. </w:t>
      </w:r>
    </w:p>
    <w:p w:rsidR="00A607C6" w:rsidRDefault="00870462">
      <w:pPr>
        <w:spacing w:after="0" w:line="259" w:lineRule="auto"/>
        <w:ind w:left="0" w:right="0" w:firstLine="0"/>
        <w:jc w:val="left"/>
      </w:pPr>
      <w:r>
        <w:t xml:space="preserve"> </w:t>
      </w:r>
    </w:p>
    <w:p w:rsidR="00A607C6" w:rsidRDefault="00870462">
      <w:pPr>
        <w:pStyle w:val="Heading2"/>
        <w:spacing w:line="240" w:lineRule="auto"/>
        <w:ind w:left="392" w:hanging="407"/>
      </w:pPr>
      <w:r>
        <w:t xml:space="preserve">Assessor </w:t>
      </w:r>
    </w:p>
    <w:p w:rsidR="00A607C6" w:rsidRDefault="00870462">
      <w:pPr>
        <w:spacing w:after="0" w:line="240" w:lineRule="auto"/>
        <w:ind w:left="0" w:right="0" w:firstLine="0"/>
        <w:jc w:val="left"/>
      </w:pPr>
      <w:r>
        <w:t xml:space="preserve"> </w:t>
      </w:r>
    </w:p>
    <w:p w:rsidR="00A607C6" w:rsidRDefault="00870462">
      <w:pPr>
        <w:autoSpaceDE w:val="0"/>
        <w:autoSpaceDN w:val="0"/>
        <w:adjustRightInd w:val="0"/>
        <w:spacing w:after="0" w:line="240" w:lineRule="auto"/>
        <w:ind w:left="0" w:right="0" w:firstLine="0"/>
        <w:rPr>
          <w:rFonts w:eastAsia="Times New Roman"/>
          <w:color w:val="auto"/>
          <w:szCs w:val="24"/>
        </w:rPr>
      </w:pPr>
      <w:r>
        <w:rPr>
          <w:rFonts w:eastAsia="Times New Roman"/>
          <w:color w:val="auto"/>
          <w:szCs w:val="24"/>
        </w:rPr>
        <w:t xml:space="preserve"> All Assessors:</w:t>
      </w:r>
    </w:p>
    <w:p w:rsidR="00A607C6" w:rsidRDefault="00A607C6">
      <w:pPr>
        <w:autoSpaceDE w:val="0"/>
        <w:autoSpaceDN w:val="0"/>
        <w:adjustRightInd w:val="0"/>
        <w:spacing w:after="0" w:line="240" w:lineRule="auto"/>
        <w:ind w:left="0" w:right="0" w:firstLine="0"/>
        <w:rPr>
          <w:rFonts w:eastAsia="Times New Roman"/>
          <w:color w:val="auto"/>
          <w:szCs w:val="24"/>
        </w:rPr>
      </w:pPr>
    </w:p>
    <w:p w:rsidR="00A607C6" w:rsidRDefault="00870462">
      <w:pPr>
        <w:pStyle w:val="ListParagraph"/>
        <w:numPr>
          <w:ilvl w:val="0"/>
          <w:numId w:val="9"/>
        </w:numPr>
        <w:autoSpaceDE w:val="0"/>
        <w:autoSpaceDN w:val="0"/>
        <w:adjustRightInd w:val="0"/>
        <w:spacing w:after="0" w:line="240" w:lineRule="auto"/>
        <w:ind w:right="0"/>
        <w:jc w:val="left"/>
        <w:rPr>
          <w:rFonts w:eastAsia="Times New Roman"/>
          <w:color w:val="auto"/>
          <w:szCs w:val="24"/>
        </w:rPr>
      </w:pPr>
      <w:r>
        <w:rPr>
          <w:rFonts w:eastAsia="Times New Roman"/>
          <w:color w:val="auto"/>
          <w:szCs w:val="24"/>
        </w:rPr>
        <w:t xml:space="preserve">Must hold, or be working towards, an appropriate Assessor qualification as identified by SQA Accreditation, the qualification regulator. Achievement of an Assessor qualification needs to be within appropriate timescales. </w:t>
      </w:r>
    </w:p>
    <w:p w:rsidR="00A607C6" w:rsidRDefault="00870462">
      <w:pPr>
        <w:pStyle w:val="ListParagraph"/>
        <w:numPr>
          <w:ilvl w:val="0"/>
          <w:numId w:val="9"/>
        </w:numPr>
        <w:autoSpaceDE w:val="0"/>
        <w:autoSpaceDN w:val="0"/>
        <w:adjustRightInd w:val="0"/>
        <w:spacing w:after="0" w:line="240" w:lineRule="auto"/>
        <w:ind w:right="0"/>
        <w:jc w:val="left"/>
        <w:rPr>
          <w:rFonts w:eastAsia="Times New Roman"/>
          <w:color w:val="auto"/>
          <w:szCs w:val="24"/>
        </w:rPr>
      </w:pPr>
      <w:r>
        <w:rPr>
          <w:rFonts w:eastAsia="Times New Roman"/>
          <w:color w:val="auto"/>
          <w:szCs w:val="24"/>
        </w:rPr>
        <w:t xml:space="preserve">Assessors, who are working towards an appropriate Assessor qualification should have the necessary occupational competence and experience and should be supported by an appropriately qualified Assessor. Appropriately qualified Assessors must review and countersign decisions and activities. </w:t>
      </w:r>
    </w:p>
    <w:p w:rsidR="00A607C6" w:rsidRDefault="00870462">
      <w:pPr>
        <w:pStyle w:val="ListParagraph"/>
        <w:numPr>
          <w:ilvl w:val="0"/>
          <w:numId w:val="9"/>
        </w:numPr>
        <w:autoSpaceDE w:val="0"/>
        <w:autoSpaceDN w:val="0"/>
        <w:adjustRightInd w:val="0"/>
        <w:spacing w:after="0" w:line="240" w:lineRule="auto"/>
        <w:ind w:right="0"/>
        <w:jc w:val="left"/>
        <w:rPr>
          <w:rFonts w:eastAsia="Times New Roman"/>
          <w:color w:val="auto"/>
          <w:szCs w:val="24"/>
        </w:rPr>
      </w:pPr>
      <w:r>
        <w:rPr>
          <w:rFonts w:eastAsia="Times New Roman"/>
          <w:color w:val="auto"/>
          <w:szCs w:val="24"/>
        </w:rPr>
        <w:lastRenderedPageBreak/>
        <w:t>Assessors holding older Assessor qualifications must be able to demonstrate that they are assessing to the current standards.</w:t>
      </w:r>
    </w:p>
    <w:p w:rsidR="00A607C6" w:rsidRDefault="00870462">
      <w:pPr>
        <w:numPr>
          <w:ilvl w:val="0"/>
          <w:numId w:val="9"/>
        </w:numPr>
        <w:autoSpaceDE w:val="0"/>
        <w:autoSpaceDN w:val="0"/>
        <w:adjustRightInd w:val="0"/>
        <w:spacing w:after="0" w:line="240" w:lineRule="auto"/>
        <w:ind w:right="0"/>
        <w:jc w:val="left"/>
        <w:rPr>
          <w:rFonts w:eastAsia="Times New Roman"/>
          <w:color w:val="auto"/>
          <w:szCs w:val="24"/>
        </w:rPr>
      </w:pPr>
      <w:r>
        <w:rPr>
          <w:rFonts w:eastAsia="Times New Roman"/>
          <w:color w:val="auto"/>
          <w:szCs w:val="24"/>
        </w:rPr>
        <w:t xml:space="preserve">Provide current records of their skills and supporting knowledge and understanding in the context of a recent role directly related to the qualification units they are assessing. </w:t>
      </w:r>
    </w:p>
    <w:p w:rsidR="00A607C6" w:rsidRDefault="00870462">
      <w:pPr>
        <w:numPr>
          <w:ilvl w:val="0"/>
          <w:numId w:val="9"/>
        </w:numPr>
        <w:autoSpaceDE w:val="0"/>
        <w:autoSpaceDN w:val="0"/>
        <w:adjustRightInd w:val="0"/>
        <w:spacing w:after="0" w:line="240" w:lineRule="auto"/>
        <w:ind w:right="0"/>
        <w:jc w:val="left"/>
        <w:rPr>
          <w:rFonts w:eastAsia="Times New Roman"/>
          <w:color w:val="auto"/>
          <w:szCs w:val="24"/>
        </w:rPr>
      </w:pPr>
      <w:r>
        <w:rPr>
          <w:rFonts w:eastAsia="Times New Roman"/>
          <w:color w:val="auto"/>
          <w:szCs w:val="24"/>
        </w:rPr>
        <w:t xml:space="preserve">Have knowledge and experience of the regulation, legislation and/or codes of practice applicable to their role and the setting within which they work </w:t>
      </w:r>
    </w:p>
    <w:p w:rsidR="00A607C6" w:rsidRDefault="00870462">
      <w:pPr>
        <w:numPr>
          <w:ilvl w:val="0"/>
          <w:numId w:val="9"/>
        </w:numPr>
        <w:autoSpaceDE w:val="0"/>
        <w:autoSpaceDN w:val="0"/>
        <w:adjustRightInd w:val="0"/>
        <w:spacing w:after="0" w:line="240" w:lineRule="auto"/>
        <w:ind w:right="0"/>
        <w:jc w:val="left"/>
        <w:rPr>
          <w:rFonts w:eastAsia="Times New Roman"/>
          <w:color w:val="auto"/>
          <w:szCs w:val="24"/>
        </w:rPr>
      </w:pPr>
      <w:r>
        <w:rPr>
          <w:rFonts w:eastAsia="Times New Roman"/>
          <w:color w:val="auto"/>
          <w:szCs w:val="24"/>
        </w:rPr>
        <w:t xml:space="preserve">Take the lead role in the assessment of observed learner performance in relation to the units of the qualification. </w:t>
      </w:r>
    </w:p>
    <w:p w:rsidR="00A607C6" w:rsidRDefault="00A607C6">
      <w:pPr>
        <w:ind w:left="-5" w:right="0"/>
      </w:pPr>
    </w:p>
    <w:p w:rsidR="00A607C6" w:rsidRDefault="00870462">
      <w:pPr>
        <w:ind w:left="-5" w:right="0"/>
      </w:pPr>
      <w:r>
        <w:t xml:space="preserve">The Assessor must also be: </w:t>
      </w:r>
    </w:p>
    <w:tbl>
      <w:tblPr>
        <w:tblStyle w:val="TableGrid0"/>
        <w:tblW w:w="10456" w:type="dxa"/>
        <w:tblInd w:w="-108" w:type="dxa"/>
        <w:tblLayout w:type="fixed"/>
        <w:tblCellMar>
          <w:top w:w="90" w:type="dxa"/>
          <w:left w:w="108" w:type="dxa"/>
          <w:right w:w="72" w:type="dxa"/>
        </w:tblCellMar>
        <w:tblLook w:val="04A0" w:firstRow="1" w:lastRow="0" w:firstColumn="1" w:lastColumn="0" w:noHBand="0" w:noVBand="1"/>
      </w:tblPr>
      <w:tblGrid>
        <w:gridCol w:w="2660"/>
        <w:gridCol w:w="7796"/>
      </w:tblGrid>
      <w:tr w:rsidR="00A607C6">
        <w:trPr>
          <w:trHeight w:val="342"/>
        </w:trPr>
        <w:tc>
          <w:tcPr>
            <w:tcW w:w="2660" w:type="dxa"/>
            <w:tcBorders>
              <w:top w:val="single" w:sz="8" w:space="0" w:color="538DD3"/>
              <w:left w:val="nil"/>
              <w:bottom w:val="single" w:sz="8" w:space="0" w:color="538DD3"/>
              <w:right w:val="nil"/>
            </w:tcBorders>
          </w:tcPr>
          <w:p w:rsidR="00A607C6" w:rsidRDefault="00A607C6">
            <w:pPr>
              <w:spacing w:after="0" w:line="259" w:lineRule="auto"/>
              <w:ind w:left="0" w:right="0" w:firstLine="0"/>
              <w:jc w:val="left"/>
            </w:pPr>
          </w:p>
        </w:tc>
        <w:tc>
          <w:tcPr>
            <w:tcW w:w="7796"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t xml:space="preserve">Definition </w:t>
            </w:r>
          </w:p>
        </w:tc>
      </w:tr>
      <w:tr w:rsidR="00A607C6">
        <w:trPr>
          <w:trHeight w:val="1616"/>
        </w:trPr>
        <w:tc>
          <w:tcPr>
            <w:tcW w:w="2660"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t xml:space="preserve">Occupationally competent </w:t>
            </w:r>
          </w:p>
        </w:tc>
        <w:tc>
          <w:tcPr>
            <w:tcW w:w="7796" w:type="dxa"/>
            <w:tcBorders>
              <w:top w:val="single" w:sz="8" w:space="0" w:color="538DD3"/>
              <w:left w:val="nil"/>
              <w:bottom w:val="single" w:sz="8" w:space="0" w:color="538DD3"/>
              <w:right w:val="nil"/>
            </w:tcBorders>
          </w:tcPr>
          <w:p w:rsidR="00A607C6" w:rsidRDefault="00870462">
            <w:pPr>
              <w:tabs>
                <w:tab w:val="center" w:pos="3511"/>
              </w:tabs>
              <w:spacing w:after="10"/>
              <w:ind w:left="-15" w:right="0" w:firstLine="0"/>
              <w:jc w:val="left"/>
            </w:pPr>
            <w:r>
              <w:rPr>
                <w:color w:val="404040"/>
              </w:rPr>
              <w:t xml:space="preserve">The Assessor must have: </w:t>
            </w:r>
          </w:p>
          <w:p w:rsidR="00A607C6" w:rsidRDefault="00870462">
            <w:pPr>
              <w:pStyle w:val="CommentText"/>
              <w:rPr>
                <w:b/>
                <w:color w:val="404040"/>
              </w:rPr>
            </w:pPr>
            <w:r>
              <w:rPr>
                <w:color w:val="404040"/>
                <w:sz w:val="24"/>
                <w:szCs w:val="24"/>
              </w:rPr>
              <w:t>The relevant vocational training and/or equivalent professional experience a</w:t>
            </w:r>
            <w:r>
              <w:rPr>
                <w:sz w:val="24"/>
                <w:szCs w:val="24"/>
              </w:rPr>
              <w:t>nd be competent in the functions covered by the units they are assessing.</w:t>
            </w:r>
          </w:p>
          <w:p w:rsidR="00A607C6" w:rsidRDefault="00A607C6">
            <w:pPr>
              <w:spacing w:after="10"/>
              <w:ind w:left="0" w:right="0" w:firstLine="0"/>
              <w:jc w:val="left"/>
            </w:pPr>
          </w:p>
        </w:tc>
      </w:tr>
      <w:tr w:rsidR="00A607C6">
        <w:trPr>
          <w:trHeight w:val="972"/>
        </w:trPr>
        <w:tc>
          <w:tcPr>
            <w:tcW w:w="2660" w:type="dxa"/>
            <w:tcBorders>
              <w:top w:val="single" w:sz="8" w:space="0" w:color="538DD3"/>
              <w:left w:val="nil"/>
              <w:bottom w:val="single" w:sz="8" w:space="0" w:color="538DD3"/>
              <w:right w:val="nil"/>
            </w:tcBorders>
            <w:shd w:val="clear" w:color="auto" w:fill="DAE5F1"/>
          </w:tcPr>
          <w:p w:rsidR="00A607C6" w:rsidRDefault="00870462">
            <w:pPr>
              <w:spacing w:after="0" w:line="259" w:lineRule="auto"/>
              <w:ind w:left="0" w:right="0" w:firstLine="0"/>
              <w:jc w:val="left"/>
            </w:pPr>
            <w:r>
              <w:rPr>
                <w:b/>
                <w:color w:val="404040"/>
              </w:rPr>
              <w:t xml:space="preserve">Familiar with the qualification </w:t>
            </w:r>
          </w:p>
        </w:tc>
        <w:tc>
          <w:tcPr>
            <w:tcW w:w="7796" w:type="dxa"/>
            <w:tcBorders>
              <w:top w:val="single" w:sz="8" w:space="0" w:color="538DD3"/>
              <w:left w:val="nil"/>
              <w:bottom w:val="single" w:sz="8" w:space="0" w:color="538DD3"/>
              <w:right w:val="nil"/>
            </w:tcBorders>
            <w:shd w:val="clear" w:color="auto" w:fill="DAE5F1"/>
          </w:tcPr>
          <w:p w:rsidR="00A607C6" w:rsidRDefault="00870462">
            <w:pPr>
              <w:spacing w:after="0" w:line="259" w:lineRule="auto"/>
              <w:ind w:left="0" w:right="0" w:firstLine="0"/>
              <w:jc w:val="left"/>
            </w:pPr>
            <w:r>
              <w:rPr>
                <w:color w:val="404040"/>
              </w:rPr>
              <w:t xml:space="preserve">The Assessor must have an in-depth technical knowledge of the qualification, units and standards of competencies required. They must be able to interpret current working practices, technologies and products within the area of work and be committed to upholding the integrity of the qualification. </w:t>
            </w:r>
          </w:p>
        </w:tc>
      </w:tr>
      <w:tr w:rsidR="00A607C6">
        <w:trPr>
          <w:trHeight w:val="1621"/>
        </w:trPr>
        <w:tc>
          <w:tcPr>
            <w:tcW w:w="2660" w:type="dxa"/>
            <w:vMerge w:val="restart"/>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t xml:space="preserve">Credible </w:t>
            </w:r>
          </w:p>
        </w:tc>
        <w:tc>
          <w:tcPr>
            <w:tcW w:w="7796"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color w:val="404040"/>
              </w:rPr>
              <w:t>The Assessor must have access to, and be engaging with, continuous professional development</w:t>
            </w:r>
            <w:r>
              <w:rPr>
                <w:color w:val="404040"/>
                <w:vertAlign w:val="superscript"/>
              </w:rPr>
              <w:footnoteReference w:id="2"/>
            </w:r>
            <w:r>
              <w:rPr>
                <w:color w:val="404040"/>
              </w:rPr>
              <w:t xml:space="preserve"> activities in order to keep up to date with developments and any issues relevant to the qualification and/or its units. These may include those offered by the awarding body or other recognised and relevant providers in the sector.</w:t>
            </w:r>
          </w:p>
        </w:tc>
      </w:tr>
      <w:tr w:rsidR="00A607C6">
        <w:trPr>
          <w:trHeight w:val="974"/>
        </w:trPr>
        <w:tc>
          <w:tcPr>
            <w:tcW w:w="2660" w:type="dxa"/>
            <w:vMerge/>
            <w:tcBorders>
              <w:top w:val="nil"/>
              <w:left w:val="nil"/>
              <w:bottom w:val="single" w:sz="8" w:space="0" w:color="538DD3"/>
              <w:right w:val="nil"/>
            </w:tcBorders>
          </w:tcPr>
          <w:p w:rsidR="00A607C6" w:rsidRDefault="00A607C6">
            <w:pPr>
              <w:spacing w:after="160" w:line="259" w:lineRule="auto"/>
              <w:ind w:left="0" w:right="0" w:firstLine="0"/>
              <w:jc w:val="left"/>
            </w:pPr>
          </w:p>
        </w:tc>
        <w:tc>
          <w:tcPr>
            <w:tcW w:w="7796" w:type="dxa"/>
            <w:tcBorders>
              <w:top w:val="single" w:sz="8" w:space="0" w:color="538DD3"/>
              <w:left w:val="nil"/>
              <w:bottom w:val="single" w:sz="8" w:space="0" w:color="538DD3"/>
              <w:right w:val="nil"/>
            </w:tcBorders>
            <w:shd w:val="clear" w:color="auto" w:fill="DAE5F1"/>
          </w:tcPr>
          <w:p w:rsidR="00A607C6" w:rsidRDefault="00870462">
            <w:pPr>
              <w:spacing w:after="0" w:line="259" w:lineRule="auto"/>
              <w:ind w:left="0" w:right="0" w:firstLine="0"/>
              <w:jc w:val="left"/>
            </w:pPr>
            <w:r>
              <w:rPr>
                <w:color w:val="404040"/>
              </w:rPr>
              <w:t xml:space="preserve">CPD is required per annum which must be demonstrated through a personal development plan (PDP) or as a reflective diary. Responsibility for CPD is the individual’s, not the centre they work for. </w:t>
            </w:r>
          </w:p>
        </w:tc>
      </w:tr>
    </w:tbl>
    <w:p w:rsidR="00A607C6" w:rsidRDefault="00870462">
      <w:pPr>
        <w:spacing w:after="0" w:line="259" w:lineRule="auto"/>
        <w:ind w:left="0" w:right="0" w:firstLine="0"/>
        <w:jc w:val="left"/>
      </w:pPr>
      <w:r>
        <w:rPr>
          <w:rFonts w:ascii="Times New Roman" w:eastAsia="Times New Roman" w:hAnsi="Times New Roman" w:cs="Times New Roman"/>
        </w:rPr>
        <w:t xml:space="preserve"> </w:t>
      </w:r>
    </w:p>
    <w:p w:rsidR="00A607C6" w:rsidRDefault="00A607C6">
      <w:pPr>
        <w:spacing w:after="0" w:line="259" w:lineRule="auto"/>
        <w:ind w:left="0" w:right="0" w:firstLine="0"/>
        <w:jc w:val="left"/>
      </w:pPr>
    </w:p>
    <w:p w:rsidR="00A607C6" w:rsidRDefault="00A607C6">
      <w:pPr>
        <w:spacing w:after="0" w:line="259" w:lineRule="auto"/>
        <w:ind w:left="0" w:right="0" w:firstLine="0"/>
        <w:jc w:val="left"/>
      </w:pPr>
    </w:p>
    <w:p w:rsidR="00A607C6" w:rsidRDefault="00A607C6">
      <w:pPr>
        <w:spacing w:after="0" w:line="259" w:lineRule="auto"/>
        <w:ind w:left="0" w:right="0" w:firstLine="0"/>
        <w:jc w:val="left"/>
      </w:pPr>
    </w:p>
    <w:p w:rsidR="00A607C6" w:rsidRDefault="00A607C6">
      <w:pPr>
        <w:spacing w:after="0" w:line="259" w:lineRule="auto"/>
        <w:ind w:left="0" w:right="0" w:firstLine="0"/>
        <w:jc w:val="left"/>
      </w:pPr>
    </w:p>
    <w:p w:rsidR="00A607C6" w:rsidRDefault="00A607C6">
      <w:pPr>
        <w:spacing w:after="0" w:line="259" w:lineRule="auto"/>
        <w:ind w:left="0" w:right="0" w:firstLine="0"/>
        <w:jc w:val="left"/>
      </w:pPr>
    </w:p>
    <w:p w:rsidR="00A607C6" w:rsidRDefault="00A607C6">
      <w:pPr>
        <w:spacing w:after="160" w:line="259" w:lineRule="auto"/>
        <w:ind w:left="0" w:right="0" w:firstLine="0"/>
        <w:jc w:val="left"/>
        <w:rPr>
          <w:b/>
          <w:bCs/>
          <w:szCs w:val="24"/>
          <w:highlight w:val="lightGray"/>
          <w:u w:color="000000"/>
        </w:rPr>
      </w:pPr>
    </w:p>
    <w:p w:rsidR="00A607C6" w:rsidRDefault="00870462">
      <w:pPr>
        <w:pStyle w:val="Heading2"/>
        <w:numPr>
          <w:ilvl w:val="0"/>
          <w:numId w:val="0"/>
        </w:numPr>
      </w:pPr>
      <w:r>
        <w:t xml:space="preserve">Internal Verifier </w:t>
      </w:r>
    </w:p>
    <w:p w:rsidR="00A607C6" w:rsidRDefault="00A607C6"/>
    <w:p w:rsidR="00A607C6" w:rsidRDefault="00870462">
      <w:pPr>
        <w:autoSpaceDE w:val="0"/>
        <w:autoSpaceDN w:val="0"/>
        <w:adjustRightInd w:val="0"/>
        <w:spacing w:after="0" w:line="240" w:lineRule="auto"/>
        <w:ind w:left="0" w:right="0" w:firstLine="0"/>
        <w:rPr>
          <w:rFonts w:eastAsia="Times New Roman"/>
          <w:color w:val="auto"/>
          <w:szCs w:val="24"/>
        </w:rPr>
      </w:pPr>
      <w:r>
        <w:rPr>
          <w:rFonts w:eastAsia="Times New Roman"/>
          <w:color w:val="auto"/>
          <w:szCs w:val="24"/>
        </w:rPr>
        <w:t xml:space="preserve"> All Internal Verifiers:</w:t>
      </w:r>
    </w:p>
    <w:p w:rsidR="00A607C6" w:rsidRDefault="00A607C6"/>
    <w:p w:rsidR="00A607C6" w:rsidRDefault="00870462">
      <w:pPr>
        <w:pStyle w:val="ListParagraph"/>
        <w:numPr>
          <w:ilvl w:val="0"/>
          <w:numId w:val="10"/>
        </w:numPr>
        <w:autoSpaceDE w:val="0"/>
        <w:autoSpaceDN w:val="0"/>
        <w:adjustRightInd w:val="0"/>
        <w:spacing w:after="0" w:line="240" w:lineRule="auto"/>
        <w:ind w:right="0"/>
        <w:jc w:val="left"/>
        <w:rPr>
          <w:rFonts w:eastAsia="Times New Roman"/>
          <w:color w:val="auto"/>
          <w:szCs w:val="24"/>
        </w:rPr>
      </w:pPr>
      <w:r>
        <w:rPr>
          <w:rFonts w:eastAsia="Times New Roman"/>
          <w:color w:val="auto"/>
          <w:szCs w:val="24"/>
        </w:rPr>
        <w:t xml:space="preserve">Must hold, or be working towards, an appropriate Internal Verifier qualification as identified by SQA Accreditation, the qualification regulator. Achievement of an internal verifier qualification needs to be within appropriate timescales. </w:t>
      </w:r>
    </w:p>
    <w:p w:rsidR="00A607C6" w:rsidRDefault="00870462">
      <w:pPr>
        <w:pStyle w:val="ListParagraph"/>
        <w:numPr>
          <w:ilvl w:val="0"/>
          <w:numId w:val="10"/>
        </w:numPr>
        <w:rPr>
          <w:rFonts w:eastAsia="Times New Roman"/>
          <w:color w:val="auto"/>
          <w:szCs w:val="24"/>
        </w:rPr>
      </w:pPr>
      <w:r>
        <w:rPr>
          <w:rFonts w:eastAsia="Times New Roman"/>
          <w:color w:val="auto"/>
          <w:szCs w:val="24"/>
        </w:rPr>
        <w:t xml:space="preserve">Internal Verifiers, who are working towards an appropriate Internal Verifier qualification should have the necessary occupational competence and experience and should be supported by an appropriately qualified Internal Verifier. Appropriately qualified Internal Verifiers must review and countersign decisions and activities. </w:t>
      </w:r>
    </w:p>
    <w:p w:rsidR="00A607C6" w:rsidRDefault="00870462">
      <w:pPr>
        <w:pStyle w:val="ListParagraph"/>
        <w:numPr>
          <w:ilvl w:val="0"/>
          <w:numId w:val="10"/>
        </w:numPr>
      </w:pPr>
      <w:r>
        <w:rPr>
          <w:rFonts w:eastAsia="Times New Roman"/>
          <w:color w:val="auto"/>
          <w:szCs w:val="24"/>
        </w:rPr>
        <w:t>Internal Verifiers holding older Internal Verifier qualifications must be able to demonstrate that they are verifying to the current standards.</w:t>
      </w:r>
    </w:p>
    <w:p w:rsidR="00A607C6" w:rsidRDefault="00870462">
      <w:pPr>
        <w:numPr>
          <w:ilvl w:val="0"/>
          <w:numId w:val="10"/>
        </w:numPr>
        <w:autoSpaceDE w:val="0"/>
        <w:autoSpaceDN w:val="0"/>
        <w:adjustRightInd w:val="0"/>
        <w:spacing w:after="0" w:line="240" w:lineRule="auto"/>
        <w:ind w:right="0"/>
        <w:jc w:val="left"/>
        <w:rPr>
          <w:rFonts w:eastAsia="Times New Roman"/>
          <w:color w:val="auto"/>
          <w:szCs w:val="24"/>
        </w:rPr>
      </w:pPr>
      <w:r>
        <w:rPr>
          <w:rFonts w:eastAsia="Times New Roman"/>
          <w:color w:val="auto"/>
          <w:szCs w:val="24"/>
        </w:rPr>
        <w:t xml:space="preserve">Provide current records of their skills and supporting knowledge and understanding in the context of a recent role directly related to the qualification units they are internally verifying. </w:t>
      </w:r>
    </w:p>
    <w:p w:rsidR="00A607C6" w:rsidRDefault="00870462">
      <w:pPr>
        <w:numPr>
          <w:ilvl w:val="0"/>
          <w:numId w:val="10"/>
        </w:numPr>
        <w:autoSpaceDE w:val="0"/>
        <w:autoSpaceDN w:val="0"/>
        <w:adjustRightInd w:val="0"/>
        <w:spacing w:after="0" w:line="240" w:lineRule="auto"/>
        <w:ind w:right="0"/>
        <w:jc w:val="left"/>
        <w:rPr>
          <w:rFonts w:eastAsia="Times New Roman"/>
          <w:color w:val="auto"/>
          <w:szCs w:val="24"/>
        </w:rPr>
      </w:pPr>
      <w:r>
        <w:rPr>
          <w:rFonts w:eastAsia="Times New Roman"/>
          <w:color w:val="auto"/>
          <w:szCs w:val="24"/>
        </w:rPr>
        <w:t xml:space="preserve">Have knowledge and experience of the regulation, legislation and/or codes of practice applicable to their role and the setting within which they work </w:t>
      </w:r>
    </w:p>
    <w:p w:rsidR="00A607C6" w:rsidRDefault="00A607C6">
      <w:pPr>
        <w:spacing w:after="0"/>
        <w:ind w:left="0" w:right="0" w:firstLine="0"/>
      </w:pPr>
    </w:p>
    <w:p w:rsidR="00A607C6" w:rsidRDefault="00870462">
      <w:pPr>
        <w:spacing w:after="0" w:line="259" w:lineRule="auto"/>
        <w:ind w:left="0" w:right="0" w:firstLine="0"/>
        <w:jc w:val="left"/>
      </w:pPr>
      <w:r>
        <w:t xml:space="preserve">The Internal Verifier must also be: </w:t>
      </w:r>
    </w:p>
    <w:p w:rsidR="00A607C6" w:rsidRDefault="00A607C6">
      <w:pPr>
        <w:ind w:left="-5" w:right="0"/>
      </w:pPr>
    </w:p>
    <w:tbl>
      <w:tblPr>
        <w:tblStyle w:val="TableGrid0"/>
        <w:tblW w:w="10456" w:type="dxa"/>
        <w:tblInd w:w="-108" w:type="dxa"/>
        <w:tblLayout w:type="fixed"/>
        <w:tblCellMar>
          <w:top w:w="90" w:type="dxa"/>
          <w:left w:w="108" w:type="dxa"/>
          <w:right w:w="72" w:type="dxa"/>
        </w:tblCellMar>
        <w:tblLook w:val="04A0" w:firstRow="1" w:lastRow="0" w:firstColumn="1" w:lastColumn="0" w:noHBand="0" w:noVBand="1"/>
      </w:tblPr>
      <w:tblGrid>
        <w:gridCol w:w="2660"/>
        <w:gridCol w:w="7796"/>
      </w:tblGrid>
      <w:tr w:rsidR="00A607C6">
        <w:trPr>
          <w:trHeight w:val="342"/>
        </w:trPr>
        <w:tc>
          <w:tcPr>
            <w:tcW w:w="2660" w:type="dxa"/>
            <w:tcBorders>
              <w:top w:val="single" w:sz="8" w:space="0" w:color="538DD3"/>
              <w:left w:val="nil"/>
              <w:bottom w:val="single" w:sz="8" w:space="0" w:color="538DD3"/>
              <w:right w:val="nil"/>
            </w:tcBorders>
          </w:tcPr>
          <w:p w:rsidR="00A607C6" w:rsidRDefault="00A607C6">
            <w:pPr>
              <w:spacing w:after="0" w:line="259" w:lineRule="auto"/>
              <w:ind w:left="0" w:right="0" w:firstLine="0"/>
              <w:jc w:val="left"/>
            </w:pPr>
          </w:p>
        </w:tc>
        <w:tc>
          <w:tcPr>
            <w:tcW w:w="7796"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t xml:space="preserve">Definition </w:t>
            </w:r>
          </w:p>
        </w:tc>
      </w:tr>
      <w:tr w:rsidR="00A607C6">
        <w:trPr>
          <w:trHeight w:val="1616"/>
        </w:trPr>
        <w:tc>
          <w:tcPr>
            <w:tcW w:w="2660"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t xml:space="preserve">Occupationally competent </w:t>
            </w:r>
          </w:p>
        </w:tc>
        <w:tc>
          <w:tcPr>
            <w:tcW w:w="7796" w:type="dxa"/>
            <w:tcBorders>
              <w:top w:val="single" w:sz="8" w:space="0" w:color="538DD3"/>
              <w:left w:val="nil"/>
              <w:bottom w:val="single" w:sz="8" w:space="0" w:color="538DD3"/>
              <w:right w:val="nil"/>
            </w:tcBorders>
          </w:tcPr>
          <w:p w:rsidR="00A607C6" w:rsidRDefault="00870462">
            <w:pPr>
              <w:tabs>
                <w:tab w:val="center" w:pos="3511"/>
              </w:tabs>
              <w:spacing w:after="10"/>
              <w:ind w:left="-15" w:right="0" w:firstLine="0"/>
              <w:jc w:val="left"/>
            </w:pPr>
            <w:r>
              <w:rPr>
                <w:color w:val="404040"/>
              </w:rPr>
              <w:t xml:space="preserve">The Internal Verifier must have: </w:t>
            </w:r>
          </w:p>
          <w:p w:rsidR="00A607C6" w:rsidRDefault="00870462">
            <w:pPr>
              <w:tabs>
                <w:tab w:val="center" w:pos="5206"/>
              </w:tabs>
              <w:spacing w:after="10"/>
              <w:ind w:left="-15" w:right="0" w:firstLine="0"/>
              <w:jc w:val="left"/>
              <w:rPr>
                <w:b/>
                <w:color w:val="404040"/>
              </w:rPr>
            </w:pPr>
            <w:r>
              <w:rPr>
                <w:color w:val="404040"/>
              </w:rPr>
              <w:t xml:space="preserve">The relevant vocational training and/or equivalent professional experience. </w:t>
            </w:r>
          </w:p>
        </w:tc>
      </w:tr>
      <w:tr w:rsidR="00A607C6">
        <w:trPr>
          <w:trHeight w:val="972"/>
        </w:trPr>
        <w:tc>
          <w:tcPr>
            <w:tcW w:w="2660" w:type="dxa"/>
            <w:tcBorders>
              <w:top w:val="single" w:sz="8" w:space="0" w:color="538DD3"/>
              <w:left w:val="nil"/>
              <w:bottom w:val="single" w:sz="8" w:space="0" w:color="538DD3"/>
              <w:right w:val="nil"/>
            </w:tcBorders>
            <w:shd w:val="clear" w:color="auto" w:fill="DAE5F1"/>
          </w:tcPr>
          <w:p w:rsidR="00A607C6" w:rsidRDefault="00870462">
            <w:pPr>
              <w:spacing w:after="0" w:line="259" w:lineRule="auto"/>
              <w:ind w:left="0" w:right="0" w:firstLine="0"/>
              <w:jc w:val="left"/>
            </w:pPr>
            <w:r>
              <w:rPr>
                <w:b/>
                <w:color w:val="404040"/>
              </w:rPr>
              <w:t xml:space="preserve">Familiar with the qualification </w:t>
            </w:r>
          </w:p>
        </w:tc>
        <w:tc>
          <w:tcPr>
            <w:tcW w:w="7796" w:type="dxa"/>
            <w:tcBorders>
              <w:top w:val="single" w:sz="8" w:space="0" w:color="538DD3"/>
              <w:left w:val="nil"/>
              <w:bottom w:val="single" w:sz="8" w:space="0" w:color="538DD3"/>
              <w:right w:val="nil"/>
            </w:tcBorders>
            <w:shd w:val="clear" w:color="auto" w:fill="DAE5F1"/>
          </w:tcPr>
          <w:p w:rsidR="00A607C6" w:rsidRDefault="00870462">
            <w:pPr>
              <w:spacing w:after="0" w:line="259" w:lineRule="auto"/>
              <w:ind w:left="0" w:right="0" w:firstLine="0"/>
              <w:jc w:val="left"/>
            </w:pPr>
            <w:r>
              <w:rPr>
                <w:color w:val="404040"/>
              </w:rPr>
              <w:t xml:space="preserve">The Internal Verifier must have an in-depth technical knowledge of the qualification, units and standards of competencies required. They must be able to interpret current working practices, technologies and products within the area of work and be committed to upholding the integrity of the qualification. </w:t>
            </w:r>
          </w:p>
        </w:tc>
      </w:tr>
      <w:tr w:rsidR="00A607C6">
        <w:trPr>
          <w:trHeight w:val="1621"/>
        </w:trPr>
        <w:tc>
          <w:tcPr>
            <w:tcW w:w="2660" w:type="dxa"/>
            <w:vMerge w:val="restart"/>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lastRenderedPageBreak/>
              <w:t xml:space="preserve">Credible </w:t>
            </w:r>
          </w:p>
        </w:tc>
        <w:tc>
          <w:tcPr>
            <w:tcW w:w="7796"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color w:val="404040"/>
              </w:rPr>
              <w:t>The Internal Verifier must have access to, and be engaging with, continuous professional development</w:t>
            </w:r>
            <w:r>
              <w:rPr>
                <w:color w:val="404040"/>
                <w:vertAlign w:val="superscript"/>
              </w:rPr>
              <w:footnoteReference w:id="3"/>
            </w:r>
            <w:r>
              <w:rPr>
                <w:color w:val="404040"/>
              </w:rPr>
              <w:t xml:space="preserve"> activities in order to keep up to date with developments and any issues relevant to the qualification and/or its units. These may include those offered by the awarding body or other recognised and relevant providers in the sector.</w:t>
            </w:r>
          </w:p>
        </w:tc>
      </w:tr>
      <w:tr w:rsidR="00A607C6">
        <w:trPr>
          <w:trHeight w:val="974"/>
        </w:trPr>
        <w:tc>
          <w:tcPr>
            <w:tcW w:w="2660" w:type="dxa"/>
            <w:vMerge/>
            <w:tcBorders>
              <w:top w:val="nil"/>
              <w:left w:val="nil"/>
              <w:bottom w:val="single" w:sz="8" w:space="0" w:color="538DD3"/>
              <w:right w:val="nil"/>
            </w:tcBorders>
          </w:tcPr>
          <w:p w:rsidR="00A607C6" w:rsidRDefault="00A607C6">
            <w:pPr>
              <w:spacing w:after="160" w:line="259" w:lineRule="auto"/>
              <w:ind w:left="0" w:right="0" w:firstLine="0"/>
              <w:jc w:val="left"/>
            </w:pPr>
          </w:p>
        </w:tc>
        <w:tc>
          <w:tcPr>
            <w:tcW w:w="7796" w:type="dxa"/>
            <w:tcBorders>
              <w:top w:val="single" w:sz="8" w:space="0" w:color="538DD3"/>
              <w:left w:val="nil"/>
              <w:bottom w:val="single" w:sz="8" w:space="0" w:color="538DD3"/>
              <w:right w:val="nil"/>
            </w:tcBorders>
            <w:shd w:val="clear" w:color="auto" w:fill="DAE5F1"/>
          </w:tcPr>
          <w:p w:rsidR="00A607C6" w:rsidRDefault="00870462">
            <w:pPr>
              <w:spacing w:after="0" w:line="259" w:lineRule="auto"/>
              <w:ind w:left="0" w:right="0" w:firstLine="0"/>
              <w:jc w:val="left"/>
            </w:pPr>
            <w:r>
              <w:rPr>
                <w:color w:val="404040"/>
              </w:rPr>
              <w:t xml:space="preserve">CPD is required per annum which must be demonstrated through a personal development plan (PDP) or as a reflective diary. Responsibility for CPD is the individual’s, not the centre they work for. </w:t>
            </w:r>
          </w:p>
        </w:tc>
      </w:tr>
    </w:tbl>
    <w:p w:rsidR="00A607C6" w:rsidRDefault="00A607C6">
      <w:pPr>
        <w:spacing w:after="84" w:line="259" w:lineRule="auto"/>
        <w:ind w:left="0" w:right="-135" w:firstLine="0"/>
        <w:jc w:val="left"/>
      </w:pPr>
    </w:p>
    <w:p w:rsidR="00A607C6" w:rsidRDefault="00870462">
      <w:pPr>
        <w:tabs>
          <w:tab w:val="center" w:pos="2802"/>
        </w:tabs>
        <w:spacing w:after="0" w:line="259" w:lineRule="auto"/>
        <w:ind w:left="0" w:right="0" w:firstLine="0"/>
        <w:jc w:val="left"/>
      </w:pPr>
      <w:r>
        <w:rPr>
          <w:color w:val="404040"/>
        </w:rPr>
        <w:t xml:space="preserve"> </w:t>
      </w:r>
      <w:r>
        <w:rPr>
          <w:color w:val="404040"/>
        </w:rPr>
        <w:tab/>
      </w:r>
    </w:p>
    <w:p w:rsidR="00A607C6" w:rsidRDefault="00870462">
      <w:pPr>
        <w:pStyle w:val="Heading2"/>
        <w:ind w:left="392" w:hanging="407"/>
      </w:pPr>
      <w:r>
        <w:t xml:space="preserve">External Verifier </w:t>
      </w:r>
    </w:p>
    <w:p w:rsidR="00A607C6" w:rsidRDefault="00870462">
      <w:pPr>
        <w:spacing w:after="0" w:line="259" w:lineRule="auto"/>
        <w:ind w:left="0" w:right="0" w:firstLine="0"/>
        <w:jc w:val="left"/>
      </w:pPr>
      <w:r>
        <w:t xml:space="preserve"> </w:t>
      </w:r>
    </w:p>
    <w:p w:rsidR="00A607C6" w:rsidRDefault="00870462">
      <w:pPr>
        <w:autoSpaceDE w:val="0"/>
        <w:autoSpaceDN w:val="0"/>
        <w:adjustRightInd w:val="0"/>
        <w:spacing w:after="0" w:line="240" w:lineRule="auto"/>
        <w:ind w:left="0" w:right="0" w:firstLine="0"/>
        <w:rPr>
          <w:rFonts w:eastAsia="Times New Roman"/>
          <w:color w:val="auto"/>
          <w:szCs w:val="24"/>
        </w:rPr>
      </w:pPr>
      <w:r>
        <w:rPr>
          <w:rFonts w:eastAsia="Times New Roman"/>
          <w:color w:val="auto"/>
          <w:szCs w:val="24"/>
        </w:rPr>
        <w:t xml:space="preserve"> All External Verifiers:</w:t>
      </w:r>
    </w:p>
    <w:p w:rsidR="00A607C6" w:rsidRDefault="00A607C6"/>
    <w:p w:rsidR="00A607C6" w:rsidRDefault="00870462">
      <w:pPr>
        <w:pStyle w:val="ListParagraph"/>
        <w:autoSpaceDE w:val="0"/>
        <w:autoSpaceDN w:val="0"/>
        <w:adjustRightInd w:val="0"/>
        <w:spacing w:after="0" w:line="240" w:lineRule="auto"/>
        <w:ind w:right="0" w:firstLine="0"/>
        <w:jc w:val="left"/>
        <w:rPr>
          <w:rFonts w:eastAsia="Times New Roman"/>
          <w:color w:val="auto"/>
          <w:szCs w:val="24"/>
        </w:rPr>
      </w:pPr>
      <w:r>
        <w:rPr>
          <w:rFonts w:eastAsia="Times New Roman"/>
          <w:color w:val="auto"/>
          <w:szCs w:val="24"/>
        </w:rPr>
        <w:t xml:space="preserve">1.  Must hold, or be working towards, an appropriate External Verifier qualification as identified by SQA Accreditation, the qualification regulator. Achievement of an External Verifier qualification needs to be within appropriate timescales. </w:t>
      </w:r>
    </w:p>
    <w:p w:rsidR="00A607C6" w:rsidRDefault="00870462">
      <w:pPr>
        <w:pStyle w:val="ListParagraph"/>
        <w:ind w:firstLine="0"/>
        <w:rPr>
          <w:rFonts w:eastAsia="Times New Roman"/>
          <w:color w:val="auto"/>
          <w:szCs w:val="24"/>
        </w:rPr>
      </w:pPr>
      <w:r>
        <w:rPr>
          <w:rFonts w:eastAsia="Times New Roman"/>
          <w:color w:val="auto"/>
          <w:szCs w:val="24"/>
        </w:rPr>
        <w:t xml:space="preserve">2.   External Verifiers, who are working towards an appropriate External Verifier qualification should have the necessary occupational competence and experience and should be supported by an appropriately qualified External Verifier. Appropriately qualified External Verifiers must review and countersign decisions and activities. </w:t>
      </w:r>
    </w:p>
    <w:p w:rsidR="00A607C6" w:rsidRDefault="00870462">
      <w:pPr>
        <w:pStyle w:val="ListParagraph"/>
        <w:ind w:firstLine="0"/>
        <w:rPr>
          <w:rFonts w:eastAsia="Times New Roman"/>
          <w:color w:val="auto"/>
          <w:szCs w:val="24"/>
        </w:rPr>
      </w:pPr>
      <w:r>
        <w:rPr>
          <w:rFonts w:eastAsia="Times New Roman"/>
          <w:color w:val="auto"/>
          <w:szCs w:val="24"/>
        </w:rPr>
        <w:t>3. External Verifiers holding older External Verifier qualifications must be able to demonstrate that they are verifying to the current standards.</w:t>
      </w:r>
    </w:p>
    <w:p w:rsidR="00A607C6" w:rsidRDefault="00870462">
      <w:pPr>
        <w:autoSpaceDE w:val="0"/>
        <w:autoSpaceDN w:val="0"/>
        <w:adjustRightInd w:val="0"/>
        <w:spacing w:after="0" w:line="240" w:lineRule="auto"/>
        <w:ind w:left="720" w:right="0" w:firstLine="0"/>
        <w:jc w:val="left"/>
        <w:rPr>
          <w:rFonts w:eastAsia="Times New Roman"/>
          <w:color w:val="auto"/>
          <w:szCs w:val="24"/>
        </w:rPr>
      </w:pPr>
      <w:r>
        <w:rPr>
          <w:rFonts w:eastAsia="Times New Roman"/>
          <w:color w:val="auto"/>
          <w:szCs w:val="24"/>
        </w:rPr>
        <w:t xml:space="preserve">4.   Provide current records of their skills and supporting knowledge and understanding in the context of a recent role directly related to the qualification units they are externally verifying. </w:t>
      </w:r>
    </w:p>
    <w:p w:rsidR="00A607C6" w:rsidRDefault="00870462">
      <w:pPr>
        <w:autoSpaceDE w:val="0"/>
        <w:autoSpaceDN w:val="0"/>
        <w:adjustRightInd w:val="0"/>
        <w:spacing w:after="0" w:line="240" w:lineRule="auto"/>
        <w:ind w:left="720" w:right="0" w:firstLine="0"/>
        <w:jc w:val="left"/>
        <w:rPr>
          <w:rFonts w:eastAsia="Times New Roman"/>
          <w:color w:val="auto"/>
          <w:szCs w:val="24"/>
        </w:rPr>
      </w:pPr>
      <w:r>
        <w:rPr>
          <w:rFonts w:eastAsia="Times New Roman"/>
          <w:color w:val="auto"/>
          <w:szCs w:val="24"/>
        </w:rPr>
        <w:t xml:space="preserve">5. Have knowledge and experience of the regulation, legislation and/or codes of practice applicable to their role and the setting within which they work </w:t>
      </w:r>
    </w:p>
    <w:p w:rsidR="00A607C6" w:rsidRDefault="00A607C6">
      <w:pPr>
        <w:pStyle w:val="ListParagraph"/>
        <w:ind w:firstLine="0"/>
      </w:pPr>
    </w:p>
    <w:p w:rsidR="00A607C6" w:rsidRDefault="00A607C6">
      <w:pPr>
        <w:pStyle w:val="ListParagraph"/>
        <w:ind w:firstLine="0"/>
      </w:pPr>
    </w:p>
    <w:p w:rsidR="00A607C6" w:rsidRDefault="00A607C6">
      <w:pPr>
        <w:pStyle w:val="ListParagraph"/>
        <w:ind w:firstLine="0"/>
      </w:pPr>
    </w:p>
    <w:p w:rsidR="00A607C6" w:rsidRDefault="00A607C6">
      <w:pPr>
        <w:pStyle w:val="ListParagraph"/>
        <w:ind w:firstLine="0"/>
      </w:pPr>
    </w:p>
    <w:p w:rsidR="00A607C6" w:rsidRDefault="00A607C6">
      <w:pPr>
        <w:pStyle w:val="ListParagraph"/>
        <w:ind w:firstLine="0"/>
      </w:pPr>
    </w:p>
    <w:p w:rsidR="00A607C6" w:rsidRDefault="00A607C6">
      <w:pPr>
        <w:pStyle w:val="ListParagraph"/>
        <w:ind w:firstLine="0"/>
      </w:pPr>
    </w:p>
    <w:p w:rsidR="00A607C6" w:rsidRDefault="00A607C6">
      <w:pPr>
        <w:pStyle w:val="ListParagraph"/>
        <w:ind w:firstLine="0"/>
      </w:pPr>
    </w:p>
    <w:p w:rsidR="00A607C6" w:rsidRDefault="00A607C6">
      <w:pPr>
        <w:ind w:left="0" w:right="0" w:firstLine="0"/>
      </w:pPr>
    </w:p>
    <w:p w:rsidR="00A607C6" w:rsidRDefault="00870462">
      <w:pPr>
        <w:ind w:left="-5" w:right="0"/>
      </w:pPr>
      <w:r>
        <w:lastRenderedPageBreak/>
        <w:t xml:space="preserve">The External Verifier must also be: </w:t>
      </w:r>
    </w:p>
    <w:p w:rsidR="00A607C6" w:rsidRDefault="00870462">
      <w:pPr>
        <w:spacing w:after="0" w:line="259" w:lineRule="auto"/>
        <w:ind w:left="0" w:right="0" w:firstLine="0"/>
        <w:jc w:val="left"/>
      </w:pPr>
      <w:r>
        <w:t xml:space="preserve"> </w:t>
      </w:r>
    </w:p>
    <w:tbl>
      <w:tblPr>
        <w:tblStyle w:val="TableGrid0"/>
        <w:tblW w:w="10456" w:type="dxa"/>
        <w:tblInd w:w="-108" w:type="dxa"/>
        <w:tblLayout w:type="fixed"/>
        <w:tblCellMar>
          <w:top w:w="90" w:type="dxa"/>
          <w:left w:w="108" w:type="dxa"/>
          <w:right w:w="72" w:type="dxa"/>
        </w:tblCellMar>
        <w:tblLook w:val="04A0" w:firstRow="1" w:lastRow="0" w:firstColumn="1" w:lastColumn="0" w:noHBand="0" w:noVBand="1"/>
      </w:tblPr>
      <w:tblGrid>
        <w:gridCol w:w="2660"/>
        <w:gridCol w:w="7796"/>
      </w:tblGrid>
      <w:tr w:rsidR="00A607C6">
        <w:trPr>
          <w:trHeight w:val="342"/>
        </w:trPr>
        <w:tc>
          <w:tcPr>
            <w:tcW w:w="2660"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color w:val="404040"/>
              </w:rPr>
              <w:t xml:space="preserve"> </w:t>
            </w:r>
          </w:p>
        </w:tc>
        <w:tc>
          <w:tcPr>
            <w:tcW w:w="7796"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t xml:space="preserve">Definition </w:t>
            </w:r>
          </w:p>
        </w:tc>
      </w:tr>
      <w:tr w:rsidR="00A607C6">
        <w:trPr>
          <w:trHeight w:val="1616"/>
        </w:trPr>
        <w:tc>
          <w:tcPr>
            <w:tcW w:w="2660"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t xml:space="preserve">Occupationally competent </w:t>
            </w:r>
          </w:p>
        </w:tc>
        <w:tc>
          <w:tcPr>
            <w:tcW w:w="7796" w:type="dxa"/>
            <w:tcBorders>
              <w:top w:val="single" w:sz="8" w:space="0" w:color="538DD3"/>
              <w:left w:val="nil"/>
              <w:bottom w:val="single" w:sz="8" w:space="0" w:color="538DD3"/>
              <w:right w:val="nil"/>
            </w:tcBorders>
          </w:tcPr>
          <w:p w:rsidR="00A607C6" w:rsidRDefault="00870462">
            <w:pPr>
              <w:tabs>
                <w:tab w:val="center" w:pos="3511"/>
              </w:tabs>
              <w:spacing w:after="10"/>
              <w:ind w:left="-15" w:right="0" w:firstLine="0"/>
              <w:jc w:val="left"/>
            </w:pPr>
            <w:r>
              <w:rPr>
                <w:color w:val="404040"/>
              </w:rPr>
              <w:t xml:space="preserve">The External Verifier must have: </w:t>
            </w:r>
          </w:p>
          <w:p w:rsidR="00A607C6" w:rsidRDefault="00870462">
            <w:pPr>
              <w:spacing w:after="0" w:line="259" w:lineRule="auto"/>
              <w:ind w:left="0" w:right="0" w:firstLine="0"/>
              <w:jc w:val="left"/>
            </w:pPr>
            <w:r>
              <w:rPr>
                <w:color w:val="404040"/>
              </w:rPr>
              <w:t>The relevant vocational training and/or equivalent professional experience.</w:t>
            </w:r>
          </w:p>
        </w:tc>
      </w:tr>
      <w:tr w:rsidR="00A607C6">
        <w:trPr>
          <w:trHeight w:val="972"/>
        </w:trPr>
        <w:tc>
          <w:tcPr>
            <w:tcW w:w="2660" w:type="dxa"/>
            <w:tcBorders>
              <w:top w:val="single" w:sz="8" w:space="0" w:color="538DD3"/>
              <w:left w:val="nil"/>
              <w:bottom w:val="single" w:sz="8" w:space="0" w:color="538DD3"/>
              <w:right w:val="nil"/>
            </w:tcBorders>
            <w:shd w:val="clear" w:color="auto" w:fill="DAE5F1"/>
          </w:tcPr>
          <w:p w:rsidR="00A607C6" w:rsidRDefault="00870462">
            <w:pPr>
              <w:spacing w:after="0" w:line="259" w:lineRule="auto"/>
              <w:ind w:left="0" w:right="0" w:firstLine="0"/>
              <w:jc w:val="left"/>
            </w:pPr>
            <w:r>
              <w:rPr>
                <w:b/>
                <w:color w:val="404040"/>
              </w:rPr>
              <w:t xml:space="preserve">Familiar with the qualification </w:t>
            </w:r>
          </w:p>
        </w:tc>
        <w:tc>
          <w:tcPr>
            <w:tcW w:w="7796" w:type="dxa"/>
            <w:tcBorders>
              <w:top w:val="single" w:sz="8" w:space="0" w:color="538DD3"/>
              <w:left w:val="nil"/>
              <w:bottom w:val="single" w:sz="8" w:space="0" w:color="538DD3"/>
              <w:right w:val="nil"/>
            </w:tcBorders>
            <w:shd w:val="clear" w:color="auto" w:fill="DAE5F1"/>
          </w:tcPr>
          <w:p w:rsidR="00A607C6" w:rsidRDefault="00870462">
            <w:pPr>
              <w:spacing w:after="0" w:line="259" w:lineRule="auto"/>
              <w:ind w:left="0" w:right="0" w:firstLine="0"/>
              <w:jc w:val="left"/>
            </w:pPr>
            <w:r>
              <w:rPr>
                <w:color w:val="404040"/>
              </w:rPr>
              <w:t xml:space="preserve">The External Verifier must have an in-depth technical knowledge of the qualification, units and standards of competencies required. They must be able to interpret current working practices, technologies and products within the area of work and be committed to upholding the integrity of the qualification. </w:t>
            </w:r>
          </w:p>
        </w:tc>
      </w:tr>
      <w:tr w:rsidR="00A607C6">
        <w:trPr>
          <w:trHeight w:val="1621"/>
        </w:trPr>
        <w:tc>
          <w:tcPr>
            <w:tcW w:w="2660" w:type="dxa"/>
            <w:vMerge w:val="restart"/>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b/>
                <w:color w:val="404040"/>
              </w:rPr>
              <w:t xml:space="preserve">Credible </w:t>
            </w:r>
          </w:p>
        </w:tc>
        <w:tc>
          <w:tcPr>
            <w:tcW w:w="7796" w:type="dxa"/>
            <w:tcBorders>
              <w:top w:val="single" w:sz="8" w:space="0" w:color="538DD3"/>
              <w:left w:val="nil"/>
              <w:bottom w:val="single" w:sz="8" w:space="0" w:color="538DD3"/>
              <w:right w:val="nil"/>
            </w:tcBorders>
          </w:tcPr>
          <w:p w:rsidR="00A607C6" w:rsidRDefault="00870462">
            <w:pPr>
              <w:spacing w:after="0" w:line="259" w:lineRule="auto"/>
              <w:ind w:left="0" w:right="0" w:firstLine="0"/>
              <w:jc w:val="left"/>
            </w:pPr>
            <w:r>
              <w:rPr>
                <w:color w:val="404040"/>
              </w:rPr>
              <w:t>The External Verifier must have access to, and be engaging with, continuous professional development</w:t>
            </w:r>
            <w:r>
              <w:rPr>
                <w:color w:val="404040"/>
                <w:vertAlign w:val="superscript"/>
              </w:rPr>
              <w:footnoteReference w:id="4"/>
            </w:r>
            <w:r>
              <w:rPr>
                <w:color w:val="404040"/>
              </w:rPr>
              <w:t xml:space="preserve"> activities in order to keep up to date with developments and any issues relevant to the qualification and/or its units. These may include those offered by the awarding body or other recognised and relevant providers in the sector. </w:t>
            </w:r>
          </w:p>
        </w:tc>
      </w:tr>
      <w:tr w:rsidR="00A607C6">
        <w:trPr>
          <w:trHeight w:val="974"/>
        </w:trPr>
        <w:tc>
          <w:tcPr>
            <w:tcW w:w="2660" w:type="dxa"/>
            <w:vMerge/>
            <w:tcBorders>
              <w:top w:val="nil"/>
              <w:left w:val="nil"/>
              <w:bottom w:val="single" w:sz="8" w:space="0" w:color="538DD3"/>
              <w:right w:val="nil"/>
            </w:tcBorders>
          </w:tcPr>
          <w:p w:rsidR="00A607C6" w:rsidRDefault="00A607C6">
            <w:pPr>
              <w:spacing w:after="160" w:line="259" w:lineRule="auto"/>
              <w:ind w:left="0" w:right="0" w:firstLine="0"/>
              <w:jc w:val="left"/>
            </w:pPr>
          </w:p>
        </w:tc>
        <w:tc>
          <w:tcPr>
            <w:tcW w:w="7796" w:type="dxa"/>
            <w:tcBorders>
              <w:top w:val="single" w:sz="8" w:space="0" w:color="538DD3"/>
              <w:left w:val="nil"/>
              <w:bottom w:val="single" w:sz="8" w:space="0" w:color="538DD3"/>
              <w:right w:val="nil"/>
            </w:tcBorders>
            <w:shd w:val="clear" w:color="auto" w:fill="DAE5F1"/>
          </w:tcPr>
          <w:p w:rsidR="00A607C6" w:rsidRDefault="00870462">
            <w:pPr>
              <w:spacing w:after="0" w:line="259" w:lineRule="auto"/>
              <w:ind w:left="0" w:right="0" w:firstLine="0"/>
              <w:jc w:val="left"/>
            </w:pPr>
            <w:r>
              <w:rPr>
                <w:color w:val="404040"/>
              </w:rPr>
              <w:t xml:space="preserve">CPD is required per annum which must be demonstrated through a personal development plan (PDP) or as a reflective diary. Responsibility for CPD is the individual’s, not the awarding body they work for. </w:t>
            </w:r>
          </w:p>
        </w:tc>
      </w:tr>
    </w:tbl>
    <w:p w:rsidR="00A607C6" w:rsidRDefault="00A607C6">
      <w:pPr>
        <w:spacing w:after="0" w:line="259" w:lineRule="auto"/>
        <w:ind w:left="0" w:right="0" w:firstLine="0"/>
        <w:jc w:val="left"/>
      </w:pPr>
    </w:p>
    <w:sectPr w:rsidR="00A607C6">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4" w:h="16840"/>
      <w:pgMar w:top="1134" w:right="841" w:bottom="5"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EDB" w:rsidRDefault="00D33EDB">
      <w:pPr>
        <w:spacing w:after="0" w:line="240" w:lineRule="auto"/>
      </w:pPr>
      <w:r>
        <w:separator/>
      </w:r>
    </w:p>
  </w:endnote>
  <w:endnote w:type="continuationSeparator" w:id="0">
    <w:p w:rsidR="00D33EDB" w:rsidRDefault="00D3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等线 Light">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DB" w:rsidRDefault="00D33EDB">
    <w:pPr>
      <w:spacing w:after="16" w:line="259" w:lineRule="auto"/>
      <w:ind w:left="172"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520700</wp:posOffset>
              </wp:positionH>
              <wp:positionV relativeFrom="page">
                <wp:posOffset>9787890</wp:posOffset>
              </wp:positionV>
              <wp:extent cx="6518910" cy="6350"/>
              <wp:effectExtent l="0" t="0" r="0" b="0"/>
              <wp:wrapSquare wrapText="bothSides"/>
              <wp:docPr id="19485" name="Group 19485"/>
              <wp:cNvGraphicFramePr/>
              <a:graphic xmlns:a="http://schemas.openxmlformats.org/drawingml/2006/main">
                <a:graphicData uri="http://schemas.microsoft.com/office/word/2010/wordprocessingGroup">
                  <wpg:wgp>
                    <wpg:cNvGrpSpPr/>
                    <wpg:grpSpPr>
                      <a:xfrm>
                        <a:off x="0" y="0"/>
                        <a:ext cx="6518910" cy="6096"/>
                        <a:chOff x="0" y="0"/>
                        <a:chExt cx="6518910" cy="6096"/>
                      </a:xfrm>
                    </wpg:grpSpPr>
                    <wps:wsp>
                      <wps:cNvPr id="20331" name="Shape 20331"/>
                      <wps:cNvSpPr/>
                      <wps:spPr>
                        <a:xfrm>
                          <a:off x="0" y="0"/>
                          <a:ext cx="6518910" cy="9144"/>
                        </a:xfrm>
                        <a:custGeom>
                          <a:avLst/>
                          <a:gdLst/>
                          <a:ahLst/>
                          <a:cxnLst/>
                          <a:rect l="0" t="0" r="0" b="0"/>
                          <a:pathLst>
                            <a:path w="6518910" h="9144">
                              <a:moveTo>
                                <a:pt x="0" y="0"/>
                              </a:moveTo>
                              <a:lnTo>
                                <a:pt x="6518910" y="0"/>
                              </a:lnTo>
                              <a:lnTo>
                                <a:pt x="6518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sCustomData="http://www.wps.cn/officeDocument/2013/wpsCustomData">
          <w:pict>
            <v:group id="_x0000_s1026" o:spid="_x0000_s1026" o:spt="203" style="position:absolute;left:0pt;margin-left:41pt;margin-top:770.7pt;height:0.5pt;width:513.3pt;mso-position-horizontal-relative:page;mso-position-vertical-relative:page;mso-wrap-distance-bottom:0pt;mso-wrap-distance-left:9pt;mso-wrap-distance-right:9pt;mso-wrap-distance-top:0pt;z-index:251660288;mso-width-relative:page;mso-height-relative:page;" coordsize="6518910,6096" o:gfxdata="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PcxSNsAAAANAQAADwAAAAAAAAABACAAAAAiAAAAZHJzL2Rv&#10;d25yZXYueG1sUEsBAhQAFAAAAAgAh07iQL2Jd0A3AgAAlAUAAA4AAAAAAAAAAQAgAAAAKgEAAGRy&#10;cy9lMm9Eb2MueG1sUEsFBgAAAAAGAAYAWQEAANMFAAAAAA==&#10;">
              <o:lock v:ext="edit" aspectratio="f"/>
              <v:shape id="Shape 20331" o:spid="_x0000_s1026" o:spt="100" style="position:absolute;left:0;top:0;height:9144;width:6518910;" fillcolor="#000000" filled="t" stroked="f" coordsize="6518910,9144" o:gfxdata="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SIgi8AAAA&#10;3gAAAA8AAAAAAAAAAQAgAAAAIgAAAGRycy9kb3ducmV2LnhtbFBLAQIUABQAAAAIAIdO4kAzLwWe&#10;OwAAADkAAAAQAAAAAAAAAAEAIAAAAAsBAABkcnMvc2hhcGV4bWwueG1sUEsFBgAAAAAGAAYAWwEA&#10;ALUDAAAAAA==&#10;" path="m0,0l6518910,0,6518910,9144,0,9144,0,0e">
                <v:fill on="t" focussize="0,0"/>
                <v:stroke on="f" weight="0pt" miterlimit="1" joinstyle="miter"/>
                <v:imagedata o:title=""/>
                <o:lock v:ext="edit" aspectratio="f"/>
              </v:shape>
              <w10:wrap type="square"/>
            </v:group>
          </w:pict>
        </mc:Fallback>
      </mc:AlternateContent>
    </w:r>
    <w:r>
      <w:rPr>
        <w:sz w:val="20"/>
      </w:rPr>
      <w:t xml:space="preserve">© </w:t>
    </w:r>
    <w:proofErr w:type="spellStart"/>
    <w:r>
      <w:rPr>
        <w:sz w:val="20"/>
      </w:rPr>
      <w:t>SkillsActive</w:t>
    </w:r>
    <w:proofErr w:type="spellEnd"/>
    <w:r>
      <w:rPr>
        <w:sz w:val="20"/>
      </w:rPr>
      <w:t xml:space="preserve"> 2014 - Assessment Strategy: SVQ 3 in Achieving Excellence in Sports Performance at SCQF Level 8  </w:t>
    </w:r>
  </w:p>
  <w:p w:rsidR="00D33EDB" w:rsidRDefault="00D33EDB">
    <w:pPr>
      <w:tabs>
        <w:tab w:val="center" w:pos="6522"/>
      </w:tabs>
      <w:spacing w:after="9" w:line="259" w:lineRule="auto"/>
      <w:ind w:left="0" w:right="0" w:firstLine="0"/>
      <w:jc w:val="left"/>
    </w:pPr>
    <w:r>
      <w:rPr>
        <w:sz w:val="22"/>
      </w:rPr>
      <w:t xml:space="preserve"> </w:t>
    </w:r>
    <w:r>
      <w:rPr>
        <w:sz w:val="22"/>
      </w:rPr>
      <w:tab/>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rPr>
        <w:b/>
        <w:sz w:val="22"/>
      </w:rPr>
      <w:fldChar w:fldCharType="begin"/>
    </w:r>
    <w:r>
      <w:rPr>
        <w:b/>
        <w:sz w:val="22"/>
      </w:rPr>
      <w:instrText xml:space="preserve"> NUMPAGES   \* MERGEFORMAT </w:instrText>
    </w:r>
    <w:r>
      <w:rPr>
        <w:b/>
        <w:sz w:val="22"/>
      </w:rPr>
      <w:fldChar w:fldCharType="separate"/>
    </w:r>
    <w:r>
      <w:rPr>
        <w:b/>
        <w:sz w:val="22"/>
      </w:rPr>
      <w:t>1</w:t>
    </w:r>
    <w:r>
      <w:rPr>
        <w:b/>
        <w:sz w:val="22"/>
      </w:rPr>
      <w:fldChar w:fldCharType="end"/>
    </w:r>
    <w:r>
      <w:rPr>
        <w:b/>
        <w:sz w:val="22"/>
      </w:rPr>
      <w:t xml:space="preserve">    </w:t>
    </w:r>
    <w:proofErr w:type="spellStart"/>
    <w:r>
      <w:rPr>
        <w:rFonts w:ascii="Arial" w:eastAsia="Arial" w:hAnsi="Arial" w:cs="Arial"/>
        <w:sz w:val="18"/>
      </w:rPr>
      <w:t>SkillsActive</w:t>
    </w:r>
    <w:proofErr w:type="spellEnd"/>
    <w:r>
      <w:rPr>
        <w:rFonts w:ascii="Arial" w:eastAsia="Arial" w:hAnsi="Arial" w:cs="Arial"/>
        <w:sz w:val="18"/>
      </w:rPr>
      <w:t xml:space="preserve"> AS ACG Approved 30 July 2014 v1 </w:t>
    </w:r>
  </w:p>
  <w:p w:rsidR="00D33EDB" w:rsidRDefault="00D33EDB">
    <w:pPr>
      <w:spacing w:after="0" w:line="259" w:lineRule="auto"/>
      <w:ind w:left="58" w:right="0" w:firstLine="0"/>
      <w:jc w:val="center"/>
    </w:pPr>
    <w:r>
      <w:t xml:space="preserve"> </w:t>
    </w:r>
  </w:p>
  <w:p w:rsidR="00D33EDB" w:rsidRDefault="00D33EDB">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DB" w:rsidRDefault="00D33EDB">
    <w:pPr>
      <w:spacing w:after="16" w:line="259" w:lineRule="auto"/>
      <w:ind w:left="172"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520700</wp:posOffset>
              </wp:positionH>
              <wp:positionV relativeFrom="page">
                <wp:posOffset>9787890</wp:posOffset>
              </wp:positionV>
              <wp:extent cx="6518910" cy="6350"/>
              <wp:effectExtent l="0" t="0" r="0" b="0"/>
              <wp:wrapSquare wrapText="bothSides"/>
              <wp:docPr id="19454" name="Group 19454"/>
              <wp:cNvGraphicFramePr/>
              <a:graphic xmlns:a="http://schemas.openxmlformats.org/drawingml/2006/main">
                <a:graphicData uri="http://schemas.microsoft.com/office/word/2010/wordprocessingGroup">
                  <wpg:wgp>
                    <wpg:cNvGrpSpPr/>
                    <wpg:grpSpPr>
                      <a:xfrm>
                        <a:off x="0" y="0"/>
                        <a:ext cx="6518910" cy="6096"/>
                        <a:chOff x="0" y="0"/>
                        <a:chExt cx="6518910" cy="6096"/>
                      </a:xfrm>
                    </wpg:grpSpPr>
                    <wps:wsp>
                      <wps:cNvPr id="20329" name="Shape 20329"/>
                      <wps:cNvSpPr/>
                      <wps:spPr>
                        <a:xfrm>
                          <a:off x="0" y="0"/>
                          <a:ext cx="6518910" cy="9144"/>
                        </a:xfrm>
                        <a:custGeom>
                          <a:avLst/>
                          <a:gdLst/>
                          <a:ahLst/>
                          <a:cxnLst/>
                          <a:rect l="0" t="0" r="0" b="0"/>
                          <a:pathLst>
                            <a:path w="6518910" h="9144">
                              <a:moveTo>
                                <a:pt x="0" y="0"/>
                              </a:moveTo>
                              <a:lnTo>
                                <a:pt x="6518910" y="0"/>
                              </a:lnTo>
                              <a:lnTo>
                                <a:pt x="6518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sCustomData="http://www.wps.cn/officeDocument/2013/wpsCustomData">
          <w:pict>
            <v:group id="_x0000_s1026" o:spid="_x0000_s1026" o:spt="203" style="position:absolute;left:0pt;margin-left:41pt;margin-top:770.7pt;height:0.5pt;width:513.3pt;mso-position-horizontal-relative:page;mso-position-vertical-relative:page;mso-wrap-distance-bottom:0pt;mso-wrap-distance-left:9pt;mso-wrap-distance-right:9pt;mso-wrap-distance-top:0pt;z-index:251661312;mso-width-relative:page;mso-height-relative:page;" coordsize="6518910,6096" o:gfxdata="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PcxSNsAAAANAQAADwAAAAAAAAABACAAAAAiAAAAZHJzL2Rv&#10;d25yZXYueG1sUEsBAhQAFAAAAAgAh07iQI8p7sk3AgAAlAUAAA4AAAAAAAAAAQAgAAAAKgEAAGRy&#10;cy9lMm9Eb2MueG1sUEsFBgAAAAAGAAYAWQEAANMFAAAAAA==&#10;">
              <o:lock v:ext="edit" aspectratio="f"/>
              <v:shape id="Shape 20329" o:spid="_x0000_s1026" o:spt="100" style="position:absolute;left:0;top:0;height:9144;width:6518910;" fillcolor="#000000" filled="t" stroked="f" coordsize="6518910,9144" o:gfxdata="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PbjTvQAA&#10;AN4AAAAPAAAAAAAAAAEAIAAAACIAAABkcnMvZG93bnJldi54bWxQSwECFAAUAAAACACHTuJAMy8F&#10;njsAAAA5AAAAEAAAAAAAAAABACAAAAAMAQAAZHJzL3NoYXBleG1sLnhtbFBLBQYAAAAABgAGAFsB&#10;AAC2AwAAAAA=&#10;" path="m0,0l6518910,0,6518910,9144,0,9144,0,0e">
                <v:fill on="t" focussize="0,0"/>
                <v:stroke on="f" weight="0pt" miterlimit="1" joinstyle="miter"/>
                <v:imagedata o:title=""/>
                <o:lock v:ext="edit" aspectratio="f"/>
              </v:shape>
              <w10:wrap type="square"/>
            </v:group>
          </w:pict>
        </mc:Fallback>
      </mc:AlternateContent>
    </w:r>
    <w:r>
      <w:rPr>
        <w:sz w:val="20"/>
      </w:rPr>
      <w:t xml:space="preserve">© </w:t>
    </w:r>
    <w:proofErr w:type="spellStart"/>
    <w:r>
      <w:rPr>
        <w:sz w:val="20"/>
      </w:rPr>
      <w:t>SkillsActive</w:t>
    </w:r>
    <w:proofErr w:type="spellEnd"/>
    <w:r>
      <w:rPr>
        <w:sz w:val="20"/>
      </w:rPr>
      <w:t xml:space="preserve"> 2019 - Assessment Strategy: SVQ Achieving Excellence in Sports Performance at SCQF Level 8  </w:t>
    </w:r>
  </w:p>
  <w:p w:rsidR="00D33EDB" w:rsidRDefault="00D33EDB">
    <w:pPr>
      <w:tabs>
        <w:tab w:val="center" w:pos="6522"/>
      </w:tabs>
      <w:spacing w:after="9" w:line="259" w:lineRule="auto"/>
      <w:ind w:left="0" w:right="0" w:firstLine="0"/>
      <w:jc w:val="left"/>
    </w:pPr>
    <w:r>
      <w:rPr>
        <w:sz w:val="22"/>
      </w:rPr>
      <w:t xml:space="preserve"> </w:t>
    </w:r>
    <w:r>
      <w:rPr>
        <w:sz w:val="22"/>
      </w:rPr>
      <w:tab/>
      <w:t xml:space="preserve">Page </w:t>
    </w:r>
    <w:r>
      <w:fldChar w:fldCharType="begin"/>
    </w:r>
    <w:r>
      <w:instrText xml:space="preserve"> PAGE   \* MERGEFORMAT </w:instrText>
    </w:r>
    <w:r>
      <w:fldChar w:fldCharType="separate"/>
    </w:r>
    <w:r>
      <w:rPr>
        <w:b/>
        <w:sz w:val="22"/>
      </w:rPr>
      <w:t>14</w:t>
    </w:r>
    <w:r>
      <w:rPr>
        <w:b/>
        <w:sz w:val="22"/>
      </w:rPr>
      <w:fldChar w:fldCharType="end"/>
    </w:r>
    <w:r>
      <w:rPr>
        <w:sz w:val="22"/>
      </w:rPr>
      <w:t xml:space="preserve"> of </w:t>
    </w:r>
    <w:r>
      <w:rPr>
        <w:b/>
        <w:sz w:val="22"/>
      </w:rPr>
      <w:fldChar w:fldCharType="begin"/>
    </w:r>
    <w:r>
      <w:rPr>
        <w:b/>
        <w:sz w:val="22"/>
      </w:rPr>
      <w:instrText xml:space="preserve"> NUMPAGES   \* MERGEFORMAT </w:instrText>
    </w:r>
    <w:r>
      <w:rPr>
        <w:b/>
        <w:sz w:val="22"/>
      </w:rPr>
      <w:fldChar w:fldCharType="separate"/>
    </w:r>
    <w:r>
      <w:rPr>
        <w:b/>
        <w:sz w:val="22"/>
      </w:rPr>
      <w:t>14</w:t>
    </w:r>
    <w:r>
      <w:rPr>
        <w:b/>
        <w:sz w:val="22"/>
      </w:rPr>
      <w:fldChar w:fldCharType="end"/>
    </w:r>
    <w:r>
      <w:rPr>
        <w:b/>
        <w:sz w:val="22"/>
      </w:rPr>
      <w:t xml:space="preserve">    </w:t>
    </w:r>
  </w:p>
  <w:p w:rsidR="00D33EDB" w:rsidRDefault="00D33EDB">
    <w:pPr>
      <w:spacing w:after="0" w:line="259" w:lineRule="auto"/>
      <w:ind w:left="58" w:right="0" w:firstLine="0"/>
      <w:jc w:val="center"/>
    </w:pPr>
    <w:r>
      <w:t xml:space="preserve"> </w:t>
    </w:r>
  </w:p>
  <w:p w:rsidR="00D33EDB" w:rsidRDefault="00D33EDB">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DB" w:rsidRDefault="008E0759">
    <w:pPr>
      <w:spacing w:after="160" w:line="259" w:lineRule="auto"/>
      <w:ind w:left="0" w:right="0" w:firstLine="0"/>
      <w:jc w:val="left"/>
    </w:pPr>
    <w:r>
      <w:t>Approved by ACG 18/03/2020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EDB" w:rsidRDefault="00D33EDB">
      <w:pPr>
        <w:spacing w:after="0" w:line="240" w:lineRule="auto"/>
      </w:pPr>
      <w:r>
        <w:separator/>
      </w:r>
    </w:p>
  </w:footnote>
  <w:footnote w:type="continuationSeparator" w:id="0">
    <w:p w:rsidR="00D33EDB" w:rsidRDefault="00D33EDB">
      <w:pPr>
        <w:spacing w:after="0" w:line="240" w:lineRule="auto"/>
      </w:pPr>
      <w:r>
        <w:continuationSeparator/>
      </w:r>
    </w:p>
  </w:footnote>
  <w:footnote w:id="1">
    <w:p w:rsidR="00D33EDB" w:rsidRDefault="00D33EDB">
      <w:pPr>
        <w:pStyle w:val="footnotedescription"/>
      </w:pPr>
      <w:r>
        <w:rPr>
          <w:rStyle w:val="footnotemark"/>
          <w:rFonts w:eastAsia="Segoe UI"/>
        </w:rPr>
        <w:footnoteRef/>
      </w:r>
      <w:r>
        <w:t xml:space="preserve"> Continuous professional development (CPD) refers to the process of tracking and documenting the skills, knowledge and experience individuals gain both formally and informally. It is a record of what they experience, learn and then apply. Responsibility for CPD is that of the individual concerned.</w:t>
      </w:r>
      <w:r>
        <w:rPr>
          <w:rFonts w:ascii="Times New Roman" w:eastAsia="Times New Roman" w:hAnsi="Times New Roman" w:cs="Times New Roman"/>
        </w:rPr>
        <w:t xml:space="preserve"> </w:t>
      </w:r>
    </w:p>
  </w:footnote>
  <w:footnote w:id="2">
    <w:p w:rsidR="00D33EDB" w:rsidRDefault="00D33EDB">
      <w:pPr>
        <w:pStyle w:val="footnotedescription"/>
      </w:pPr>
      <w:r>
        <w:rPr>
          <w:rStyle w:val="footnotemark"/>
          <w:rFonts w:eastAsia="Segoe UI"/>
        </w:rPr>
        <w:footnoteRef/>
      </w:r>
      <w:r>
        <w:t xml:space="preserve"> Continuous professional development (CPD) refers to the process of tracking and documenting the skills, knowledge and experience individuals gain both formally and informally. It is a record of what they experience, learn and then apply. Responsibility for CPD is that of the individual concerned.</w:t>
      </w:r>
      <w:r>
        <w:rPr>
          <w:rFonts w:ascii="Times New Roman" w:eastAsia="Times New Roman" w:hAnsi="Times New Roman" w:cs="Times New Roman"/>
        </w:rPr>
        <w:t xml:space="preserve"> </w:t>
      </w:r>
    </w:p>
  </w:footnote>
  <w:footnote w:id="3">
    <w:p w:rsidR="00D33EDB" w:rsidRDefault="00D33EDB">
      <w:pPr>
        <w:pStyle w:val="footnotedescription"/>
      </w:pPr>
      <w:r>
        <w:rPr>
          <w:rStyle w:val="footnotemark"/>
          <w:rFonts w:eastAsia="Segoe UI"/>
        </w:rPr>
        <w:footnoteRef/>
      </w:r>
      <w:r>
        <w:t xml:space="preserve"> Continuous professional development (CPD) refers to the process of tracking and documenting the skills, knowledge and experience individuals gain both formally and informally. It is a record of what they experience, learn and then apply. Responsibility for CPD is that of the individual concerned.</w:t>
      </w:r>
      <w:r>
        <w:rPr>
          <w:rFonts w:ascii="Times New Roman" w:eastAsia="Times New Roman" w:hAnsi="Times New Roman" w:cs="Times New Roman"/>
        </w:rPr>
        <w:t xml:space="preserve"> </w:t>
      </w:r>
    </w:p>
  </w:footnote>
  <w:footnote w:id="4">
    <w:p w:rsidR="00D33EDB" w:rsidRDefault="00D33EDB">
      <w:pPr>
        <w:pStyle w:val="footnotedescription"/>
      </w:pPr>
      <w:r>
        <w:rPr>
          <w:rStyle w:val="footnotemark"/>
          <w:rFonts w:eastAsia="Segoe UI"/>
        </w:rPr>
        <w:footnoteRef/>
      </w:r>
      <w:r>
        <w:t xml:space="preserve"> Continuous professional development (CPD) refers to the process of tracking and documenting the skills, knowledge and experience individuals gain both formally and informally. It is a record of what they experience, learn and then apply. Responsibility for CPD is that of the individual concerned.</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DB" w:rsidRDefault="00D33EDB">
    <w:pPr>
      <w:spacing w:after="0" w:line="259" w:lineRule="auto"/>
      <w:ind w:left="-851" w:right="1106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6256020</wp:posOffset>
              </wp:positionH>
              <wp:positionV relativeFrom="page">
                <wp:posOffset>251460</wp:posOffset>
              </wp:positionV>
              <wp:extent cx="1089660" cy="371475"/>
              <wp:effectExtent l="0" t="0" r="0" b="0"/>
              <wp:wrapSquare wrapText="bothSides"/>
              <wp:docPr id="19476" name="Group 19476"/>
              <wp:cNvGraphicFramePr/>
              <a:graphic xmlns:a="http://schemas.openxmlformats.org/drawingml/2006/main">
                <a:graphicData uri="http://schemas.microsoft.com/office/word/2010/wordprocessingGroup">
                  <wpg:wgp>
                    <wpg:cNvGrpSpPr/>
                    <wpg:grpSpPr>
                      <a:xfrm>
                        <a:off x="0" y="0"/>
                        <a:ext cx="1089889" cy="371242"/>
                        <a:chOff x="0" y="0"/>
                        <a:chExt cx="1089889" cy="371242"/>
                      </a:xfrm>
                    </wpg:grpSpPr>
                    <pic:pic xmlns:pic="http://schemas.openxmlformats.org/drawingml/2006/picture">
                      <pic:nvPicPr>
                        <pic:cNvPr id="19477" name="Picture 19477"/>
                        <pic:cNvPicPr/>
                      </pic:nvPicPr>
                      <pic:blipFill>
                        <a:blip r:embed="rId1"/>
                        <a:stretch>
                          <a:fillRect/>
                        </a:stretch>
                      </pic:blipFill>
                      <pic:spPr>
                        <a:xfrm>
                          <a:off x="0" y="0"/>
                          <a:ext cx="1089889" cy="300990"/>
                        </a:xfrm>
                        <a:prstGeom prst="rect">
                          <a:avLst/>
                        </a:prstGeom>
                      </pic:spPr>
                    </pic:pic>
                    <wps:wsp>
                      <wps:cNvPr id="19478" name="Rectangle 19478"/>
                      <wps:cNvSpPr/>
                      <wps:spPr>
                        <a:xfrm>
                          <a:off x="765048" y="202536"/>
                          <a:ext cx="50673" cy="224380"/>
                        </a:xfrm>
                        <a:prstGeom prst="rect">
                          <a:avLst/>
                        </a:prstGeom>
                        <a:ln>
                          <a:noFill/>
                        </a:ln>
                      </wps:spPr>
                      <wps:txbx>
                        <w:txbxContent>
                          <w:p w:rsidR="00D33EDB" w:rsidRDefault="00D33EDB">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19476" o:spid="_x0000_s1026" style="position:absolute;left:0;text-align:left;margin-left:492.6pt;margin-top:19.8pt;width:85.8pt;height:29.25pt;z-index:251658240;mso-position-horizontal-relative:page;mso-position-vertical-relative:page" coordsize="10898,3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77" o:spid="_x0000_s1027" type="#_x0000_t75" style="position:absolute;width:10898;height:3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">
                <v:imagedata r:id="rId2" o:title=""/>
              </v:shape>
              <v:rect id="Rectangle 19478" o:spid="_x0000_s1028" style="position:absolute;left:7650;top:20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" filled="f" stroked="f">
                <v:textbox inset="0,0,0,0">
                  <w:txbxContent>
                    <w:p w:rsidR="00D33EDB" w:rsidRDefault="00D33EDB">
                      <w:pPr>
                        <w:spacing w:after="160" w:line="259" w:lineRule="auto"/>
                        <w:ind w:left="0" w:righ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DB" w:rsidRDefault="00D33EDB">
    <w:pPr>
      <w:spacing w:after="0" w:line="259" w:lineRule="auto"/>
      <w:ind w:left="-851" w:right="1106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5953125</wp:posOffset>
              </wp:positionH>
              <wp:positionV relativeFrom="topMargin">
                <wp:posOffset>253365</wp:posOffset>
              </wp:positionV>
              <wp:extent cx="1000125" cy="304800"/>
              <wp:effectExtent l="0" t="0" r="9525" b="0"/>
              <wp:wrapSquare wrapText="bothSides"/>
              <wp:docPr id="19445" name="Group 19445"/>
              <wp:cNvGraphicFramePr/>
              <a:graphic xmlns:a="http://schemas.openxmlformats.org/drawingml/2006/main">
                <a:graphicData uri="http://schemas.microsoft.com/office/word/2010/wordprocessingGroup">
                  <wpg:wgp>
                    <wpg:cNvGrpSpPr/>
                    <wpg:grpSpPr>
                      <a:xfrm>
                        <a:off x="0" y="0"/>
                        <a:ext cx="1000125" cy="304800"/>
                        <a:chOff x="0" y="0"/>
                        <a:chExt cx="1089889" cy="371242"/>
                      </a:xfrm>
                    </wpg:grpSpPr>
                    <pic:pic xmlns:pic="http://schemas.openxmlformats.org/drawingml/2006/picture">
                      <pic:nvPicPr>
                        <pic:cNvPr id="19446" name="Picture 19446"/>
                        <pic:cNvPicPr/>
                      </pic:nvPicPr>
                      <pic:blipFill>
                        <a:blip r:embed="rId1"/>
                        <a:stretch>
                          <a:fillRect/>
                        </a:stretch>
                      </pic:blipFill>
                      <pic:spPr>
                        <a:xfrm>
                          <a:off x="0" y="0"/>
                          <a:ext cx="1089889" cy="300990"/>
                        </a:xfrm>
                        <a:prstGeom prst="rect">
                          <a:avLst/>
                        </a:prstGeom>
                      </pic:spPr>
                    </pic:pic>
                    <wps:wsp>
                      <wps:cNvPr id="19447" name="Rectangle 19447"/>
                      <wps:cNvSpPr/>
                      <wps:spPr>
                        <a:xfrm>
                          <a:off x="765048" y="202536"/>
                          <a:ext cx="50673" cy="224380"/>
                        </a:xfrm>
                        <a:prstGeom prst="rect">
                          <a:avLst/>
                        </a:prstGeom>
                        <a:ln>
                          <a:noFill/>
                        </a:ln>
                      </wps:spPr>
                      <wps:txbx>
                        <w:txbxContent>
                          <w:p w:rsidR="00D33EDB" w:rsidRDefault="00D33EDB">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19445" o:spid="_x0000_s1029" style="position:absolute;left:0;text-align:left;margin-left:468.75pt;margin-top:19.95pt;width:78.75pt;height:24pt;z-index:251659264;mso-position-horizontal-relative:page;mso-position-vertical-relative:top-margin-area" coordsize="10898,3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&#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46" o:spid="_x0000_s1030" type="#_x0000_t75" style="position:absolute;width:10898;height:3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">
                <v:imagedata r:id="rId2" o:title=""/>
              </v:shape>
              <v:rect id="Rectangle 19447" o:spid="_x0000_s1031" style="position:absolute;left:7650;top:20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" filled="f" stroked="f">
                <v:textbox inset="0,0,0,0">
                  <w:txbxContent>
                    <w:p w:rsidR="00D33EDB" w:rsidRDefault="00D33EDB">
                      <w:pPr>
                        <w:spacing w:after="160" w:line="259" w:lineRule="auto"/>
                        <w:ind w:left="0" w:right="0" w:firstLine="0"/>
                        <w:jc w:val="left"/>
                      </w:pPr>
                      <w:r>
                        <w:rPr>
                          <w:rFonts w:ascii="Times New Roman" w:eastAsia="Times New Roman" w:hAnsi="Times New Roman" w:cs="Times New Roman"/>
                        </w:rPr>
                        <w:t xml:space="preserve"> </w:t>
                      </w:r>
                    </w:p>
                  </w:txbxContent>
                </v:textbox>
              </v:rect>
              <w10:wrap type="square"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DB" w:rsidRDefault="00D33ED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F26"/>
    <w:multiLevelType w:val="multilevel"/>
    <w:tmpl w:val="06B16F26"/>
    <w:lvl w:ilvl="0">
      <w:start w:val="1"/>
      <w:numFmt w:val="decimal"/>
      <w:pStyle w:val="Heading1"/>
      <w:lvlText w:val="%1."/>
      <w:lvlJc w:val="left"/>
      <w:pPr>
        <w:ind w:left="0"/>
      </w:pPr>
      <w:rPr>
        <w:rFonts w:ascii="Segoe UI" w:eastAsia="Segoe UI" w:hAnsi="Segoe UI" w:cs="Segoe UI"/>
        <w:b/>
        <w:bCs/>
        <w:i w:val="0"/>
        <w:strike w:val="0"/>
        <w:dstrike w:val="0"/>
        <w:color w:val="000000"/>
        <w:sz w:val="28"/>
        <w:szCs w:val="28"/>
        <w:u w:val="none" w:color="000000"/>
        <w:shd w:val="clear" w:color="auto" w:fill="auto"/>
        <w:vertAlign w:val="baseline"/>
      </w:rPr>
    </w:lvl>
    <w:lvl w:ilvl="1">
      <w:start w:val="1"/>
      <w:numFmt w:val="decimal"/>
      <w:pStyle w:val="Heading2"/>
      <w:lvlText w:val="%1.%2"/>
      <w:lvlJc w:val="left"/>
      <w:pPr>
        <w:ind w:left="850"/>
      </w:pPr>
      <w:rPr>
        <w:rFonts w:ascii="Segoe UI" w:eastAsia="Segoe UI" w:hAnsi="Segoe UI" w:cs="Segoe UI"/>
        <w:b/>
        <w:bCs/>
        <w:i w:val="0"/>
        <w:strike w:val="0"/>
        <w:dstrike w:val="0"/>
        <w:color w:val="000000"/>
        <w:sz w:val="24"/>
        <w:szCs w:val="24"/>
        <w:u w:val="none" w:color="000000"/>
        <w:shd w:val="clear" w:color="auto" w:fill="auto"/>
        <w:vertAlign w:val="baseline"/>
      </w:rPr>
    </w:lvl>
    <w:lvl w:ilvl="2">
      <w:start w:val="1"/>
      <w:numFmt w:val="lowerRoman"/>
      <w:lvlText w:val="%3"/>
      <w:lvlJc w:val="left"/>
      <w:pPr>
        <w:ind w:left="1080"/>
      </w:pPr>
      <w:rPr>
        <w:rFonts w:ascii="Segoe UI" w:eastAsia="Segoe UI" w:hAnsi="Segoe UI" w:cs="Segoe UI"/>
        <w:b/>
        <w:bCs/>
        <w:i w:val="0"/>
        <w:strike w:val="0"/>
        <w:dstrike w:val="0"/>
        <w:color w:val="000000"/>
        <w:sz w:val="24"/>
        <w:szCs w:val="24"/>
        <w:u w:val="none" w:color="000000"/>
        <w:shd w:val="clear" w:color="auto" w:fill="auto"/>
        <w:vertAlign w:val="baseline"/>
      </w:rPr>
    </w:lvl>
    <w:lvl w:ilvl="3">
      <w:start w:val="1"/>
      <w:numFmt w:val="decimal"/>
      <w:lvlText w:val="%4"/>
      <w:lvlJc w:val="left"/>
      <w:pPr>
        <w:ind w:left="1800"/>
      </w:pPr>
      <w:rPr>
        <w:rFonts w:ascii="Segoe UI" w:eastAsia="Segoe UI" w:hAnsi="Segoe UI" w:cs="Segoe UI"/>
        <w:b/>
        <w:bCs/>
        <w:i w:val="0"/>
        <w:strike w:val="0"/>
        <w:dstrike w:val="0"/>
        <w:color w:val="000000"/>
        <w:sz w:val="24"/>
        <w:szCs w:val="24"/>
        <w:u w:val="none" w:color="000000"/>
        <w:shd w:val="clear" w:color="auto" w:fill="auto"/>
        <w:vertAlign w:val="baseline"/>
      </w:rPr>
    </w:lvl>
    <w:lvl w:ilvl="4">
      <w:start w:val="1"/>
      <w:numFmt w:val="lowerLetter"/>
      <w:lvlText w:val="%5"/>
      <w:lvlJc w:val="left"/>
      <w:pPr>
        <w:ind w:left="2520"/>
      </w:pPr>
      <w:rPr>
        <w:rFonts w:ascii="Segoe UI" w:eastAsia="Segoe UI" w:hAnsi="Segoe UI" w:cs="Segoe UI"/>
        <w:b/>
        <w:bCs/>
        <w:i w:val="0"/>
        <w:strike w:val="0"/>
        <w:dstrike w:val="0"/>
        <w:color w:val="000000"/>
        <w:sz w:val="24"/>
        <w:szCs w:val="24"/>
        <w:u w:val="none" w:color="000000"/>
        <w:shd w:val="clear" w:color="auto" w:fill="auto"/>
        <w:vertAlign w:val="baseline"/>
      </w:rPr>
    </w:lvl>
    <w:lvl w:ilvl="5">
      <w:start w:val="1"/>
      <w:numFmt w:val="lowerRoman"/>
      <w:lvlText w:val="%6"/>
      <w:lvlJc w:val="left"/>
      <w:pPr>
        <w:ind w:left="3240"/>
      </w:pPr>
      <w:rPr>
        <w:rFonts w:ascii="Segoe UI" w:eastAsia="Segoe UI" w:hAnsi="Segoe UI" w:cs="Segoe UI"/>
        <w:b/>
        <w:bCs/>
        <w:i w:val="0"/>
        <w:strike w:val="0"/>
        <w:dstrike w:val="0"/>
        <w:color w:val="000000"/>
        <w:sz w:val="24"/>
        <w:szCs w:val="24"/>
        <w:u w:val="none" w:color="000000"/>
        <w:shd w:val="clear" w:color="auto" w:fill="auto"/>
        <w:vertAlign w:val="baseline"/>
      </w:rPr>
    </w:lvl>
    <w:lvl w:ilvl="6">
      <w:start w:val="1"/>
      <w:numFmt w:val="decimal"/>
      <w:lvlText w:val="%7"/>
      <w:lvlJc w:val="left"/>
      <w:pPr>
        <w:ind w:left="3960"/>
      </w:pPr>
      <w:rPr>
        <w:rFonts w:ascii="Segoe UI" w:eastAsia="Segoe UI" w:hAnsi="Segoe UI" w:cs="Segoe UI"/>
        <w:b/>
        <w:bCs/>
        <w:i w:val="0"/>
        <w:strike w:val="0"/>
        <w:dstrike w:val="0"/>
        <w:color w:val="000000"/>
        <w:sz w:val="24"/>
        <w:szCs w:val="24"/>
        <w:u w:val="none" w:color="000000"/>
        <w:shd w:val="clear" w:color="auto" w:fill="auto"/>
        <w:vertAlign w:val="baseline"/>
      </w:rPr>
    </w:lvl>
    <w:lvl w:ilvl="7">
      <w:start w:val="1"/>
      <w:numFmt w:val="lowerLetter"/>
      <w:lvlText w:val="%8"/>
      <w:lvlJc w:val="left"/>
      <w:pPr>
        <w:ind w:left="4680"/>
      </w:pPr>
      <w:rPr>
        <w:rFonts w:ascii="Segoe UI" w:eastAsia="Segoe UI" w:hAnsi="Segoe UI" w:cs="Segoe UI"/>
        <w:b/>
        <w:bCs/>
        <w:i w:val="0"/>
        <w:strike w:val="0"/>
        <w:dstrike w:val="0"/>
        <w:color w:val="000000"/>
        <w:sz w:val="24"/>
        <w:szCs w:val="24"/>
        <w:u w:val="none" w:color="000000"/>
        <w:shd w:val="clear" w:color="auto" w:fill="auto"/>
        <w:vertAlign w:val="baseline"/>
      </w:rPr>
    </w:lvl>
    <w:lvl w:ilvl="8">
      <w:start w:val="1"/>
      <w:numFmt w:val="lowerRoman"/>
      <w:lvlText w:val="%9"/>
      <w:lvlJc w:val="left"/>
      <w:pPr>
        <w:ind w:left="5400"/>
      </w:pPr>
      <w:rPr>
        <w:rFonts w:ascii="Segoe UI" w:eastAsia="Segoe UI" w:hAnsi="Segoe UI" w:cs="Segoe UI"/>
        <w:b/>
        <w:bCs/>
        <w:i w:val="0"/>
        <w:strike w:val="0"/>
        <w:dstrike w:val="0"/>
        <w:color w:val="000000"/>
        <w:sz w:val="24"/>
        <w:szCs w:val="24"/>
        <w:u w:val="none" w:color="000000"/>
        <w:shd w:val="clear" w:color="auto" w:fill="auto"/>
        <w:vertAlign w:val="baseline"/>
      </w:rPr>
    </w:lvl>
  </w:abstractNum>
  <w:abstractNum w:abstractNumId="1" w15:restartNumberingAfterBreak="0">
    <w:nsid w:val="0E643C6A"/>
    <w:multiLevelType w:val="multilevel"/>
    <w:tmpl w:val="0E643C6A"/>
    <w:lvl w:ilvl="0">
      <w:start w:val="1"/>
      <w:numFmt w:val="bullet"/>
      <w:lvlText w:val="•"/>
      <w:lvlJc w:val="left"/>
      <w:pPr>
        <w:ind w:left="72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2" w15:restartNumberingAfterBreak="0">
    <w:nsid w:val="106A745D"/>
    <w:multiLevelType w:val="multilevel"/>
    <w:tmpl w:val="106A745D"/>
    <w:lvl w:ilvl="0">
      <w:start w:val="1"/>
      <w:numFmt w:val="bullet"/>
      <w:lvlText w:val="•"/>
      <w:lvlJc w:val="left"/>
      <w:pPr>
        <w:ind w:left="72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3" w15:restartNumberingAfterBreak="0">
    <w:nsid w:val="175C52DF"/>
    <w:multiLevelType w:val="multilevel"/>
    <w:tmpl w:val="175C52DF"/>
    <w:lvl w:ilvl="0">
      <w:start w:val="1"/>
      <w:numFmt w:val="bullet"/>
      <w:lvlText w:val="•"/>
      <w:lvlJc w:val="left"/>
      <w:pPr>
        <w:ind w:left="72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4" w15:restartNumberingAfterBreak="0">
    <w:nsid w:val="453419FF"/>
    <w:multiLevelType w:val="multilevel"/>
    <w:tmpl w:val="453419FF"/>
    <w:lvl w:ilvl="0">
      <w:start w:val="1"/>
      <w:numFmt w:val="bullet"/>
      <w:lvlText w:val="•"/>
      <w:lvlJc w:val="left"/>
      <w:pPr>
        <w:ind w:left="72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5" w15:restartNumberingAfterBreak="0">
    <w:nsid w:val="4B1116B8"/>
    <w:multiLevelType w:val="multilevel"/>
    <w:tmpl w:val="4B1116B8"/>
    <w:lvl w:ilvl="0">
      <w:start w:val="1"/>
      <w:numFmt w:val="bullet"/>
      <w:lvlText w:val="•"/>
      <w:lvlJc w:val="left"/>
      <w:pPr>
        <w:ind w:left="72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6" w15:restartNumberingAfterBreak="0">
    <w:nsid w:val="5390081A"/>
    <w:multiLevelType w:val="multilevel"/>
    <w:tmpl w:val="5390081A"/>
    <w:lvl w:ilvl="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CA57803"/>
    <w:multiLevelType w:val="multilevel"/>
    <w:tmpl w:val="5CA57803"/>
    <w:lvl w:ilvl="0">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1">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3">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5">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7">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shd w:val="clear" w:color="auto" w:fill="auto"/>
        <w:vertAlign w:val="baseline"/>
      </w:rPr>
    </w:lvl>
    <w:lvl w:ilvl="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shd w:val="clear" w:color="auto" w:fill="auto"/>
        <w:vertAlign w:val="baseline"/>
      </w:rPr>
    </w:lvl>
  </w:abstractNum>
  <w:abstractNum w:abstractNumId="8" w15:restartNumberingAfterBreak="0">
    <w:nsid w:val="7A167CBE"/>
    <w:multiLevelType w:val="multilevel"/>
    <w:tmpl w:val="7A167C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C5744"/>
    <w:multiLevelType w:val="multilevel"/>
    <w:tmpl w:val="7B0C5744"/>
    <w:lvl w:ilvl="0">
      <w:start w:val="1"/>
      <w:numFmt w:val="decimal"/>
      <w:lvlText w:val="%1."/>
      <w:lvlJc w:val="left"/>
      <w:pPr>
        <w:ind w:left="720" w:hanging="360"/>
      </w:pPr>
      <w:rPr>
        <w:rFonts w:ascii="Segoe UI" w:eastAsia="Times New Roman" w:hAnsi="Segoe UI" w:cs="Segoe U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7"/>
  </w:num>
  <w:num w:numId="7">
    <w:abstractNumId w:val="1"/>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B7"/>
    <w:rsid w:val="00001C92"/>
    <w:rsid w:val="00002B68"/>
    <w:rsid w:val="00003BE8"/>
    <w:rsid w:val="00006529"/>
    <w:rsid w:val="0001169C"/>
    <w:rsid w:val="00011FC3"/>
    <w:rsid w:val="000129CE"/>
    <w:rsid w:val="0001358E"/>
    <w:rsid w:val="00024CFE"/>
    <w:rsid w:val="0003658B"/>
    <w:rsid w:val="00040595"/>
    <w:rsid w:val="000508EE"/>
    <w:rsid w:val="00066CBF"/>
    <w:rsid w:val="000712F5"/>
    <w:rsid w:val="00072C18"/>
    <w:rsid w:val="000736AF"/>
    <w:rsid w:val="00073CA3"/>
    <w:rsid w:val="00085099"/>
    <w:rsid w:val="00097479"/>
    <w:rsid w:val="000A5FE0"/>
    <w:rsid w:val="000B2481"/>
    <w:rsid w:val="000B789B"/>
    <w:rsid w:val="000B7E13"/>
    <w:rsid w:val="000C2704"/>
    <w:rsid w:val="000C43A3"/>
    <w:rsid w:val="000D3D2F"/>
    <w:rsid w:val="000E440B"/>
    <w:rsid w:val="000F1F9C"/>
    <w:rsid w:val="000F3F9E"/>
    <w:rsid w:val="000F4BC9"/>
    <w:rsid w:val="0010678E"/>
    <w:rsid w:val="00107619"/>
    <w:rsid w:val="001216B4"/>
    <w:rsid w:val="001373B2"/>
    <w:rsid w:val="001447B7"/>
    <w:rsid w:val="00144DBF"/>
    <w:rsid w:val="001510BF"/>
    <w:rsid w:val="001558CD"/>
    <w:rsid w:val="001563D8"/>
    <w:rsid w:val="0016717D"/>
    <w:rsid w:val="00167D4B"/>
    <w:rsid w:val="0017554B"/>
    <w:rsid w:val="0018535B"/>
    <w:rsid w:val="00192EE6"/>
    <w:rsid w:val="001C5449"/>
    <w:rsid w:val="001D596E"/>
    <w:rsid w:val="001E11AA"/>
    <w:rsid w:val="001E61CA"/>
    <w:rsid w:val="001F5C15"/>
    <w:rsid w:val="002121DA"/>
    <w:rsid w:val="00212A77"/>
    <w:rsid w:val="00212D7F"/>
    <w:rsid w:val="00223D98"/>
    <w:rsid w:val="00251ED1"/>
    <w:rsid w:val="002615AD"/>
    <w:rsid w:val="00264C51"/>
    <w:rsid w:val="00276A63"/>
    <w:rsid w:val="00277916"/>
    <w:rsid w:val="00297ACF"/>
    <w:rsid w:val="002B3102"/>
    <w:rsid w:val="002B4B3B"/>
    <w:rsid w:val="002C2520"/>
    <w:rsid w:val="002D715A"/>
    <w:rsid w:val="002D7C17"/>
    <w:rsid w:val="002E0C6B"/>
    <w:rsid w:val="002F4A41"/>
    <w:rsid w:val="002F63B3"/>
    <w:rsid w:val="00305D55"/>
    <w:rsid w:val="00320DC9"/>
    <w:rsid w:val="00336EDE"/>
    <w:rsid w:val="003478D3"/>
    <w:rsid w:val="00354E17"/>
    <w:rsid w:val="003577D7"/>
    <w:rsid w:val="003707CA"/>
    <w:rsid w:val="003741B6"/>
    <w:rsid w:val="0037584C"/>
    <w:rsid w:val="003818B6"/>
    <w:rsid w:val="0038339F"/>
    <w:rsid w:val="003929AF"/>
    <w:rsid w:val="0039634C"/>
    <w:rsid w:val="003A333A"/>
    <w:rsid w:val="003C0EF1"/>
    <w:rsid w:val="003D1A9C"/>
    <w:rsid w:val="003E681B"/>
    <w:rsid w:val="003F1A50"/>
    <w:rsid w:val="003F7005"/>
    <w:rsid w:val="00401AFB"/>
    <w:rsid w:val="00401C43"/>
    <w:rsid w:val="00410A32"/>
    <w:rsid w:val="00413EA6"/>
    <w:rsid w:val="00427A93"/>
    <w:rsid w:val="00444BF9"/>
    <w:rsid w:val="00453727"/>
    <w:rsid w:val="00464798"/>
    <w:rsid w:val="004B1CE7"/>
    <w:rsid w:val="004B42AC"/>
    <w:rsid w:val="004D12A9"/>
    <w:rsid w:val="004D13CD"/>
    <w:rsid w:val="004E0EF3"/>
    <w:rsid w:val="004F2C66"/>
    <w:rsid w:val="004F3B30"/>
    <w:rsid w:val="0050550F"/>
    <w:rsid w:val="00512C44"/>
    <w:rsid w:val="00515D27"/>
    <w:rsid w:val="005178D5"/>
    <w:rsid w:val="005220E1"/>
    <w:rsid w:val="00542E66"/>
    <w:rsid w:val="0054353C"/>
    <w:rsid w:val="00546F40"/>
    <w:rsid w:val="00564DDC"/>
    <w:rsid w:val="00566E52"/>
    <w:rsid w:val="00576A07"/>
    <w:rsid w:val="00577046"/>
    <w:rsid w:val="00586C68"/>
    <w:rsid w:val="005A191B"/>
    <w:rsid w:val="005C4410"/>
    <w:rsid w:val="005D69DA"/>
    <w:rsid w:val="005E4740"/>
    <w:rsid w:val="005F573D"/>
    <w:rsid w:val="006027BF"/>
    <w:rsid w:val="006145C0"/>
    <w:rsid w:val="00624B16"/>
    <w:rsid w:val="006272E4"/>
    <w:rsid w:val="00627690"/>
    <w:rsid w:val="00635CBF"/>
    <w:rsid w:val="006425A0"/>
    <w:rsid w:val="006427C5"/>
    <w:rsid w:val="00645E38"/>
    <w:rsid w:val="006757B5"/>
    <w:rsid w:val="00682110"/>
    <w:rsid w:val="00693B40"/>
    <w:rsid w:val="006C5AD1"/>
    <w:rsid w:val="006C615F"/>
    <w:rsid w:val="006C71E4"/>
    <w:rsid w:val="006D190A"/>
    <w:rsid w:val="006D2F5A"/>
    <w:rsid w:val="006D53FE"/>
    <w:rsid w:val="006D5F4C"/>
    <w:rsid w:val="006E052B"/>
    <w:rsid w:val="006E201F"/>
    <w:rsid w:val="006F55EF"/>
    <w:rsid w:val="00705F97"/>
    <w:rsid w:val="007074A0"/>
    <w:rsid w:val="00712506"/>
    <w:rsid w:val="007172D9"/>
    <w:rsid w:val="0072483E"/>
    <w:rsid w:val="007322E2"/>
    <w:rsid w:val="007335CB"/>
    <w:rsid w:val="0074323D"/>
    <w:rsid w:val="00744EBD"/>
    <w:rsid w:val="0074702C"/>
    <w:rsid w:val="007637F6"/>
    <w:rsid w:val="0076746D"/>
    <w:rsid w:val="00767496"/>
    <w:rsid w:val="00771769"/>
    <w:rsid w:val="007730E5"/>
    <w:rsid w:val="00782D18"/>
    <w:rsid w:val="00783C30"/>
    <w:rsid w:val="00787842"/>
    <w:rsid w:val="00791049"/>
    <w:rsid w:val="00792222"/>
    <w:rsid w:val="007A05D8"/>
    <w:rsid w:val="007A15EE"/>
    <w:rsid w:val="007C23E1"/>
    <w:rsid w:val="007E18E1"/>
    <w:rsid w:val="007F4C90"/>
    <w:rsid w:val="007F53BF"/>
    <w:rsid w:val="00801587"/>
    <w:rsid w:val="008122E2"/>
    <w:rsid w:val="00827ACC"/>
    <w:rsid w:val="00830DBD"/>
    <w:rsid w:val="00837A00"/>
    <w:rsid w:val="008408A1"/>
    <w:rsid w:val="00851566"/>
    <w:rsid w:val="008604C7"/>
    <w:rsid w:val="008613A7"/>
    <w:rsid w:val="0086424F"/>
    <w:rsid w:val="00870462"/>
    <w:rsid w:val="0087533D"/>
    <w:rsid w:val="00877F04"/>
    <w:rsid w:val="008816E6"/>
    <w:rsid w:val="00882910"/>
    <w:rsid w:val="008829F2"/>
    <w:rsid w:val="00882E1B"/>
    <w:rsid w:val="00885816"/>
    <w:rsid w:val="00890F79"/>
    <w:rsid w:val="008B5274"/>
    <w:rsid w:val="008C24BA"/>
    <w:rsid w:val="008E0759"/>
    <w:rsid w:val="008F4021"/>
    <w:rsid w:val="009030C4"/>
    <w:rsid w:val="00903AA7"/>
    <w:rsid w:val="00906B2A"/>
    <w:rsid w:val="0092362E"/>
    <w:rsid w:val="00937C3E"/>
    <w:rsid w:val="00950D0B"/>
    <w:rsid w:val="0095342A"/>
    <w:rsid w:val="009573C5"/>
    <w:rsid w:val="009619AD"/>
    <w:rsid w:val="00962F1B"/>
    <w:rsid w:val="00965434"/>
    <w:rsid w:val="00972E2A"/>
    <w:rsid w:val="0098039C"/>
    <w:rsid w:val="0098338F"/>
    <w:rsid w:val="00990183"/>
    <w:rsid w:val="009930FF"/>
    <w:rsid w:val="009A4212"/>
    <w:rsid w:val="009A6FE2"/>
    <w:rsid w:val="009B51AC"/>
    <w:rsid w:val="009B6368"/>
    <w:rsid w:val="009C1236"/>
    <w:rsid w:val="009D654F"/>
    <w:rsid w:val="009E7B7F"/>
    <w:rsid w:val="009F395E"/>
    <w:rsid w:val="009F3C09"/>
    <w:rsid w:val="00A0294C"/>
    <w:rsid w:val="00A03721"/>
    <w:rsid w:val="00A1531C"/>
    <w:rsid w:val="00A15A25"/>
    <w:rsid w:val="00A24DCA"/>
    <w:rsid w:val="00A32E82"/>
    <w:rsid w:val="00A34BE7"/>
    <w:rsid w:val="00A40D3B"/>
    <w:rsid w:val="00A44F7B"/>
    <w:rsid w:val="00A46A6D"/>
    <w:rsid w:val="00A47C80"/>
    <w:rsid w:val="00A537A8"/>
    <w:rsid w:val="00A54285"/>
    <w:rsid w:val="00A607C6"/>
    <w:rsid w:val="00A64C40"/>
    <w:rsid w:val="00A8057E"/>
    <w:rsid w:val="00A82743"/>
    <w:rsid w:val="00A8664C"/>
    <w:rsid w:val="00A93A9A"/>
    <w:rsid w:val="00A9489A"/>
    <w:rsid w:val="00A94FE8"/>
    <w:rsid w:val="00AA1BEF"/>
    <w:rsid w:val="00AA2DE6"/>
    <w:rsid w:val="00AA38C1"/>
    <w:rsid w:val="00AA6B81"/>
    <w:rsid w:val="00AB0646"/>
    <w:rsid w:val="00AB07AC"/>
    <w:rsid w:val="00AB0C71"/>
    <w:rsid w:val="00AB6E20"/>
    <w:rsid w:val="00AD3F68"/>
    <w:rsid w:val="00AD62BD"/>
    <w:rsid w:val="00AE09E1"/>
    <w:rsid w:val="00AE65C5"/>
    <w:rsid w:val="00AF1B35"/>
    <w:rsid w:val="00AF2E9A"/>
    <w:rsid w:val="00AF364D"/>
    <w:rsid w:val="00B1000B"/>
    <w:rsid w:val="00B1582D"/>
    <w:rsid w:val="00B15FF1"/>
    <w:rsid w:val="00B20E0B"/>
    <w:rsid w:val="00B26329"/>
    <w:rsid w:val="00B26542"/>
    <w:rsid w:val="00B365E0"/>
    <w:rsid w:val="00B429DB"/>
    <w:rsid w:val="00B5014B"/>
    <w:rsid w:val="00B543A5"/>
    <w:rsid w:val="00B634EC"/>
    <w:rsid w:val="00B666CE"/>
    <w:rsid w:val="00B974C6"/>
    <w:rsid w:val="00BA3581"/>
    <w:rsid w:val="00BA5A5D"/>
    <w:rsid w:val="00BB0361"/>
    <w:rsid w:val="00BB111D"/>
    <w:rsid w:val="00BC47A4"/>
    <w:rsid w:val="00BD0344"/>
    <w:rsid w:val="00BD112C"/>
    <w:rsid w:val="00BD76D2"/>
    <w:rsid w:val="00BD77A6"/>
    <w:rsid w:val="00BF0EB9"/>
    <w:rsid w:val="00BF1441"/>
    <w:rsid w:val="00BF6430"/>
    <w:rsid w:val="00C13D92"/>
    <w:rsid w:val="00C15F5A"/>
    <w:rsid w:val="00C33D63"/>
    <w:rsid w:val="00C3448E"/>
    <w:rsid w:val="00C632CB"/>
    <w:rsid w:val="00C64AAA"/>
    <w:rsid w:val="00C65257"/>
    <w:rsid w:val="00C65C62"/>
    <w:rsid w:val="00C75FAF"/>
    <w:rsid w:val="00C85B1A"/>
    <w:rsid w:val="00C936F1"/>
    <w:rsid w:val="00CA2A10"/>
    <w:rsid w:val="00CA490B"/>
    <w:rsid w:val="00CA5A60"/>
    <w:rsid w:val="00CC2915"/>
    <w:rsid w:val="00CC6D12"/>
    <w:rsid w:val="00CD4473"/>
    <w:rsid w:val="00CF43C6"/>
    <w:rsid w:val="00D018C4"/>
    <w:rsid w:val="00D157D0"/>
    <w:rsid w:val="00D315AE"/>
    <w:rsid w:val="00D33EDB"/>
    <w:rsid w:val="00D33FDD"/>
    <w:rsid w:val="00D46B79"/>
    <w:rsid w:val="00D61E34"/>
    <w:rsid w:val="00D65F5F"/>
    <w:rsid w:val="00D733BA"/>
    <w:rsid w:val="00D8158A"/>
    <w:rsid w:val="00D86999"/>
    <w:rsid w:val="00D90869"/>
    <w:rsid w:val="00D96F2D"/>
    <w:rsid w:val="00DC4DEB"/>
    <w:rsid w:val="00DD2D21"/>
    <w:rsid w:val="00DD474F"/>
    <w:rsid w:val="00DF50CE"/>
    <w:rsid w:val="00E0114F"/>
    <w:rsid w:val="00E05A34"/>
    <w:rsid w:val="00E12555"/>
    <w:rsid w:val="00E23C9D"/>
    <w:rsid w:val="00E33BAD"/>
    <w:rsid w:val="00E43167"/>
    <w:rsid w:val="00E54DEE"/>
    <w:rsid w:val="00E71289"/>
    <w:rsid w:val="00E91E09"/>
    <w:rsid w:val="00EB3025"/>
    <w:rsid w:val="00EB3305"/>
    <w:rsid w:val="00EC104C"/>
    <w:rsid w:val="00EC73C1"/>
    <w:rsid w:val="00ED4629"/>
    <w:rsid w:val="00EE213C"/>
    <w:rsid w:val="00EE6BE6"/>
    <w:rsid w:val="00F06EFC"/>
    <w:rsid w:val="00F16DF4"/>
    <w:rsid w:val="00F53379"/>
    <w:rsid w:val="00F54780"/>
    <w:rsid w:val="00F563BE"/>
    <w:rsid w:val="00F64647"/>
    <w:rsid w:val="00FA1EB7"/>
    <w:rsid w:val="00FB0E95"/>
    <w:rsid w:val="00FB2EF7"/>
    <w:rsid w:val="00FC6172"/>
    <w:rsid w:val="00FC7FF0"/>
    <w:rsid w:val="00FD7E4A"/>
    <w:rsid w:val="00FE14C7"/>
    <w:rsid w:val="00FE47E3"/>
    <w:rsid w:val="00FF3570"/>
    <w:rsid w:val="00FF6E6C"/>
    <w:rsid w:val="15BA70CA"/>
    <w:rsid w:val="17907F7C"/>
    <w:rsid w:val="369A5B01"/>
    <w:rsid w:val="453E21E7"/>
    <w:rsid w:val="46345BC8"/>
    <w:rsid w:val="46941E7F"/>
    <w:rsid w:val="50352BFC"/>
    <w:rsid w:val="521447A0"/>
    <w:rsid w:val="527E6060"/>
    <w:rsid w:val="645012C1"/>
    <w:rsid w:val="6A0959FC"/>
    <w:rsid w:val="6B156F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3748A79"/>
  <w15:docId w15:val="{CCB470E7-2344-45FC-9DC4-EEC6C161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9" w:line="249" w:lineRule="auto"/>
      <w:ind w:left="10" w:right="5" w:hanging="10"/>
      <w:jc w:val="both"/>
    </w:pPr>
    <w:rPr>
      <w:rFonts w:ascii="Segoe UI" w:eastAsia="Segoe UI" w:hAnsi="Segoe UI" w:cs="Segoe UI"/>
      <w:color w:val="000000"/>
      <w:sz w:val="24"/>
      <w:szCs w:val="22"/>
    </w:rPr>
  </w:style>
  <w:style w:type="paragraph" w:styleId="Heading1">
    <w:name w:val="heading 1"/>
    <w:next w:val="Normal"/>
    <w:link w:val="Heading1Char"/>
    <w:uiPriority w:val="9"/>
    <w:unhideWhenUsed/>
    <w:qFormat/>
    <w:pPr>
      <w:keepNext/>
      <w:keepLines/>
      <w:numPr>
        <w:numId w:val="1"/>
      </w:numPr>
      <w:spacing w:after="11" w:line="249" w:lineRule="auto"/>
      <w:ind w:left="152" w:right="1354" w:hanging="10"/>
      <w:outlineLvl w:val="0"/>
    </w:pPr>
    <w:rPr>
      <w:rFonts w:ascii="Segoe UI" w:eastAsia="Segoe UI" w:hAnsi="Segoe UI" w:cs="Segoe UI"/>
      <w:b/>
      <w:color w:val="000000"/>
      <w:sz w:val="28"/>
      <w:szCs w:val="22"/>
    </w:rPr>
  </w:style>
  <w:style w:type="paragraph" w:styleId="Heading2">
    <w:name w:val="heading 2"/>
    <w:next w:val="Normal"/>
    <w:link w:val="Heading2Char"/>
    <w:uiPriority w:val="9"/>
    <w:unhideWhenUsed/>
    <w:qFormat/>
    <w:pPr>
      <w:keepNext/>
      <w:keepLines/>
      <w:numPr>
        <w:ilvl w:val="1"/>
        <w:numId w:val="1"/>
      </w:numPr>
      <w:spacing w:after="0"/>
      <w:ind w:left="10" w:hanging="10"/>
      <w:outlineLvl w:val="1"/>
    </w:pPr>
    <w:rPr>
      <w:rFonts w:ascii="Segoe UI" w:eastAsia="Segoe UI" w:hAnsi="Segoe UI" w:cs="Segoe UI"/>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qFormat/>
    <w:pPr>
      <w:spacing w:after="0" w:line="266" w:lineRule="auto"/>
      <w:ind w:right="6"/>
      <w:jc w:val="both"/>
    </w:pPr>
    <w:rPr>
      <w:rFonts w:ascii="Segoe UI" w:eastAsia="Segoe UI" w:hAnsi="Segoe UI" w:cs="Segoe UI"/>
      <w:color w:val="000000"/>
      <w:szCs w:val="22"/>
    </w:rPr>
  </w:style>
  <w:style w:type="character" w:customStyle="1" w:styleId="footnotedescriptionChar">
    <w:name w:val="footnote description Char"/>
    <w:link w:val="footnotedescription"/>
    <w:qFormat/>
    <w:rPr>
      <w:rFonts w:ascii="Segoe UI" w:eastAsia="Segoe UI" w:hAnsi="Segoe UI" w:cs="Segoe UI"/>
      <w:color w:val="000000"/>
      <w:sz w:val="20"/>
    </w:rPr>
  </w:style>
  <w:style w:type="character" w:customStyle="1" w:styleId="Heading2Char">
    <w:name w:val="Heading 2 Char"/>
    <w:link w:val="Heading2"/>
    <w:rPr>
      <w:rFonts w:ascii="Segoe UI" w:eastAsia="Segoe UI" w:hAnsi="Segoe UI" w:cs="Segoe UI"/>
      <w:b/>
      <w:color w:val="000000"/>
      <w:sz w:val="24"/>
    </w:rPr>
  </w:style>
  <w:style w:type="character" w:customStyle="1" w:styleId="Heading1Char">
    <w:name w:val="Heading 1 Char"/>
    <w:link w:val="Heading1"/>
    <w:rPr>
      <w:rFonts w:ascii="Segoe UI" w:eastAsia="Segoe UI" w:hAnsi="Segoe UI" w:cs="Segoe UI"/>
      <w:b/>
      <w:color w:val="000000"/>
      <w:sz w:val="28"/>
    </w:rPr>
  </w:style>
  <w:style w:type="character" w:customStyle="1" w:styleId="footnotemark">
    <w:name w:val="footnote mark"/>
    <w:rPr>
      <w:rFonts w:ascii="Times New Roman" w:eastAsia="Times New Roman" w:hAnsi="Times New Roman" w:cs="Times New Roman"/>
      <w:color w:val="000000"/>
      <w:sz w:val="20"/>
      <w:vertAlign w:val="superscript"/>
    </w:rPr>
  </w:style>
  <w:style w:type="table" w:customStyle="1" w:styleId="TableGrid0">
    <w:name w:val="TableGrid"/>
    <w:pPr>
      <w:spacing w:after="0" w:line="240" w:lineRule="auto"/>
    </w:p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qFormat/>
    <w:rPr>
      <w:rFonts w:ascii="Segoe UI" w:eastAsia="Segoe UI" w:hAnsi="Segoe UI" w:cs="Segoe UI"/>
      <w:color w:val="000000"/>
      <w:sz w:val="18"/>
      <w:szCs w:val="18"/>
    </w:rPr>
  </w:style>
  <w:style w:type="table" w:customStyle="1" w:styleId="TableGrid1">
    <w:name w:val="Table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Segoe UI" w:eastAsia="Segoe UI" w:hAnsi="Segoe UI" w:cs="Segoe UI"/>
      <w:color w:val="000000"/>
      <w:sz w:val="20"/>
      <w:szCs w:val="20"/>
    </w:rPr>
  </w:style>
  <w:style w:type="character" w:customStyle="1" w:styleId="CommentSubjectChar">
    <w:name w:val="Comment Subject Char"/>
    <w:basedOn w:val="CommentTextChar"/>
    <w:link w:val="CommentSubject"/>
    <w:uiPriority w:val="99"/>
    <w:semiHidden/>
    <w:rPr>
      <w:rFonts w:ascii="Segoe UI" w:eastAsia="Segoe UI" w:hAnsi="Segoe UI" w:cs="Segoe UI"/>
      <w:b/>
      <w:bCs/>
      <w:color w:val="000000"/>
      <w:sz w:val="20"/>
      <w:szCs w:val="20"/>
    </w:rPr>
  </w:style>
  <w:style w:type="paragraph" w:customStyle="1" w:styleId="Default">
    <w:name w:val="Default"/>
    <w:qForma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FooterChar">
    <w:name w:val="Footer Char"/>
    <w:basedOn w:val="DefaultParagraphFont"/>
    <w:link w:val="Footer"/>
    <w:uiPriority w:val="99"/>
    <w:qFormat/>
    <w:rPr>
      <w:rFonts w:cs="Times New Roman"/>
      <w:lang w:val="en-US" w:eastAsia="en-US"/>
    </w:rPr>
  </w:style>
  <w:style w:type="paragraph" w:customStyle="1" w:styleId="Revision1">
    <w:name w:val="Revision1"/>
    <w:hidden/>
    <w:uiPriority w:val="99"/>
    <w:semiHidden/>
    <w:qFormat/>
    <w:pPr>
      <w:spacing w:after="0" w:line="240" w:lineRule="auto"/>
    </w:pPr>
    <w:rPr>
      <w:rFonts w:ascii="Segoe UI" w:eastAsia="Segoe UI" w:hAnsi="Segoe UI" w:cs="Segoe U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9FB5D25B10B3043B07CCACC8AC8AFD9" ma:contentTypeVersion="2" ma:contentTypeDescription="Create a new document." ma:contentTypeScope="" ma:versionID="4807b3dda540749865f243fb6e43b58d">
  <xsd:schema xmlns:xsd="http://www.w3.org/2001/XMLSchema" xmlns:xs="http://www.w3.org/2001/XMLSchema" xmlns:p="http://schemas.microsoft.com/office/2006/metadata/properties" xmlns:ns3="a835f63b-9555-45b7-adfd-a0ba466e0b65" targetNamespace="http://schemas.microsoft.com/office/2006/metadata/properties" ma:root="true" ma:fieldsID="7e4e78be44db80eeea2cb4190d11bc01" ns3:_="">
    <xsd:import namespace="a835f63b-9555-45b7-adfd-a0ba466e0b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5f63b-9555-45b7-adfd-a0ba466e0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DFFB74-F104-4C5E-853F-827BA3FEC380}">
  <ds:schemaRefs/>
</ds:datastoreItem>
</file>

<file path=customXml/itemProps3.xml><?xml version="1.0" encoding="utf-8"?>
<ds:datastoreItem xmlns:ds="http://schemas.openxmlformats.org/officeDocument/2006/customXml" ds:itemID="{57A7BD00-D102-4C29-ABE5-D3CB3385CD57}">
  <ds:schemaRefs/>
</ds:datastoreItem>
</file>

<file path=customXml/itemProps4.xml><?xml version="1.0" encoding="utf-8"?>
<ds:datastoreItem xmlns:ds="http://schemas.openxmlformats.org/officeDocument/2006/customXml" ds:itemID="{E23C957F-1B73-47F1-A3F3-C5E4DBED3570}">
  <ds:schemaRefs/>
</ds:datastoreItem>
</file>

<file path=customXml/itemProps5.xml><?xml version="1.0" encoding="utf-8"?>
<ds:datastoreItem xmlns:ds="http://schemas.openxmlformats.org/officeDocument/2006/customXml" ds:itemID="{BA151C1E-A65B-4133-9572-EA4A324F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14</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Microsoft Word - 2014.07.30 AS SVQ 3 in Achieving Excellence in Sports Performance</vt:lpstr>
    </vt:vector>
  </TitlesOfParts>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- 2014.07.30 AS SVQ 3 in Achieving Excellence in Sports Performance</dc:title>
  <dc:creator>prov1972</dc:creator>
  <cp:lastModifiedBy>Maria O'Neill</cp:lastModifiedBy>
  <cp:revision>20</cp:revision>
  <dcterms:created xsi:type="dcterms:W3CDTF">2020-02-07T17:06:00Z</dcterms:created>
  <dcterms:modified xsi:type="dcterms:W3CDTF">2020-03-20T12:27:00Z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0x01010099FB5D25B10B3043B07CCACC8AC8AFD9</vt:lpwstr>
  </property>
  <property fmtid="{D5CDD505-2E9C-101B-9397-08002B2CF9AE}" pid="3" name="KSOProductBuildVer">
    <vt:lpwstr>1033-10.2.0.7636</vt:lpwstr>
  </property>
</Properties>
</file>